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E5309E" w14:paraId="6D5F34EC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82828"/>
            <w:tcMar>
              <w:top w:w="600" w:type="dxa"/>
              <w:left w:w="480" w:type="dxa"/>
              <w:bottom w:w="400" w:type="dxa"/>
              <w:right w:w="480" w:type="dxa"/>
            </w:tcMar>
          </w:tcPr>
          <w:p w14:paraId="750D7C6E" w14:textId="246B6E59" w:rsidR="00E5309E" w:rsidRDefault="00BB0CFE">
            <w:pPr>
              <w:spacing w:after="80"/>
            </w:pPr>
            <w:r>
              <w:rPr>
                <w:b/>
                <w:bCs/>
                <w:color w:val="F06400"/>
              </w:rPr>
              <w:t>TEST COMPANY DOCUMENT SOLUTIONS</w:t>
            </w:r>
          </w:p>
          <w:p w14:paraId="216B8E4F" w14:textId="77777777" w:rsidR="00E5309E" w:rsidRDefault="00000000">
            <w:pPr>
              <w:spacing w:after="160"/>
            </w:pPr>
            <w:r>
              <w:rPr>
                <w:b/>
                <w:bCs/>
                <w:color w:val="FFFFFF"/>
                <w:sz w:val="64"/>
                <w:szCs w:val="64"/>
              </w:rPr>
              <w:t>Enterprise Dashboard</w:t>
            </w:r>
          </w:p>
          <w:p w14:paraId="363F3A67" w14:textId="77777777" w:rsidR="00E5309E" w:rsidRDefault="00000000">
            <w:pPr>
              <w:spacing w:after="60"/>
            </w:pPr>
            <w:r>
              <w:rPr>
                <w:color w:val="AAAAAA"/>
                <w:sz w:val="36"/>
                <w:szCs w:val="36"/>
              </w:rPr>
              <w:t>Design System &amp; Governance Guide</w:t>
            </w:r>
          </w:p>
          <w:p w14:paraId="32B042C2" w14:textId="77777777" w:rsidR="00E5309E" w:rsidRDefault="00000000">
            <w:pPr>
              <w:spacing w:after="200"/>
            </w:pPr>
            <w:r>
              <w:rPr>
                <w:color w:val="666666"/>
              </w:rPr>
              <w:t>Power BI Standards · HTML Templates · Brand Compliance</w:t>
            </w:r>
          </w:p>
          <w:p w14:paraId="2EFDCEF0" w14:textId="77777777" w:rsidR="00E5309E" w:rsidRDefault="00E5309E">
            <w:pPr>
              <w:pBdr>
                <w:bottom w:val="single" w:sz="4" w:space="1" w:color="6E3CBE"/>
              </w:pBdr>
              <w:spacing w:before="120" w:after="120"/>
            </w:pPr>
          </w:p>
          <w:p w14:paraId="59F8AB72" w14:textId="77777777" w:rsidR="00E5309E" w:rsidRDefault="00E5309E">
            <w:pPr>
              <w:spacing w:before="80" w:after="80"/>
            </w:pPr>
          </w:p>
          <w:tbl>
            <w:tblPr>
              <w:tblW w:w="9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640"/>
              <w:gridCol w:w="4720"/>
            </w:tblGrid>
            <w:tr w:rsidR="00E5309E" w14:paraId="24D606A4" w14:textId="77777777">
              <w:tc>
                <w:tcPr>
                  <w:tcW w:w="46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160" w:type="dxa"/>
                  </w:tcMar>
                </w:tcPr>
                <w:p w14:paraId="33D62196" w14:textId="77777777" w:rsidR="00E5309E" w:rsidRDefault="00000000">
                  <w:pPr>
                    <w:spacing w:after="40"/>
                  </w:pPr>
                  <w:r>
                    <w:rPr>
                      <w:color w:val="7E7E7E"/>
                      <w:sz w:val="17"/>
                      <w:szCs w:val="17"/>
                    </w:rPr>
                    <w:t>Version</w:t>
                  </w:r>
                </w:p>
                <w:p w14:paraId="38D343EB" w14:textId="77777777" w:rsidR="00E5309E" w:rsidRDefault="00000000">
                  <w:r>
                    <w:rPr>
                      <w:b/>
                      <w:bCs/>
                      <w:color w:val="FFFFFF"/>
                    </w:rPr>
                    <w:t>1.0 — April 2026</w:t>
                  </w:r>
                </w:p>
                <w:p w14:paraId="1BE172B4" w14:textId="77777777" w:rsidR="00E5309E" w:rsidRDefault="00E5309E">
                  <w:pPr>
                    <w:spacing w:before="80" w:after="80"/>
                  </w:pPr>
                </w:p>
                <w:p w14:paraId="32FA1F2F" w14:textId="77777777" w:rsidR="00E5309E" w:rsidRDefault="00000000">
                  <w:pPr>
                    <w:spacing w:after="40"/>
                  </w:pPr>
                  <w:r>
                    <w:rPr>
                      <w:color w:val="7E7E7E"/>
                      <w:sz w:val="17"/>
                      <w:szCs w:val="17"/>
                    </w:rPr>
                    <w:t>Classification</w:t>
                  </w:r>
                </w:p>
                <w:p w14:paraId="408B25F7" w14:textId="77777777" w:rsidR="00E5309E" w:rsidRDefault="00000000">
                  <w:r>
                    <w:rPr>
                      <w:b/>
                      <w:bCs/>
                      <w:color w:val="FFFFFF"/>
                    </w:rPr>
                    <w:t>Internal — Confidential</w:t>
                  </w:r>
                </w:p>
                <w:p w14:paraId="353C510B" w14:textId="77777777" w:rsidR="00E5309E" w:rsidRDefault="00E5309E">
                  <w:pPr>
                    <w:spacing w:before="80" w:after="80"/>
                  </w:pPr>
                </w:p>
                <w:p w14:paraId="65FDE471" w14:textId="77777777" w:rsidR="00E5309E" w:rsidRDefault="00000000">
                  <w:pPr>
                    <w:spacing w:after="40"/>
                  </w:pPr>
                  <w:r>
                    <w:rPr>
                      <w:color w:val="7E7E7E"/>
                      <w:sz w:val="17"/>
                      <w:szCs w:val="17"/>
                    </w:rPr>
                    <w:t>Owner</w:t>
                  </w:r>
                </w:p>
                <w:p w14:paraId="5831ADE6" w14:textId="77777777" w:rsidR="00E5309E" w:rsidRDefault="00000000">
                  <w:r>
                    <w:rPr>
                      <w:b/>
                      <w:bCs/>
                      <w:color w:val="FFFFFF"/>
                    </w:rPr>
                    <w:t>Business Intelligence &amp; Marketing</w:t>
                  </w:r>
                </w:p>
              </w:tc>
              <w:tc>
                <w:tcPr>
                  <w:tcW w:w="47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160" w:type="dxa"/>
                    <w:bottom w:w="0" w:type="dxa"/>
                    <w:right w:w="0" w:type="dxa"/>
                  </w:tcMar>
                </w:tcPr>
                <w:p w14:paraId="04E92B26" w14:textId="77777777" w:rsidR="00E5309E" w:rsidRDefault="00000000">
                  <w:pPr>
                    <w:spacing w:after="40"/>
                  </w:pPr>
                  <w:r>
                    <w:rPr>
                      <w:color w:val="7E7E7E"/>
                      <w:sz w:val="17"/>
                      <w:szCs w:val="17"/>
                    </w:rPr>
                    <w:t>Audience</w:t>
                  </w:r>
                </w:p>
                <w:p w14:paraId="0028F513" w14:textId="77777777" w:rsidR="00E5309E" w:rsidRDefault="00000000">
                  <w:r>
                    <w:rPr>
                      <w:b/>
                      <w:bCs/>
                      <w:color w:val="FFFFFF"/>
                    </w:rPr>
                    <w:t>BI Developers · Designers · Leadership</w:t>
                  </w:r>
                </w:p>
                <w:p w14:paraId="3E4E8A15" w14:textId="77777777" w:rsidR="00E5309E" w:rsidRDefault="00E5309E">
                  <w:pPr>
                    <w:spacing w:before="80" w:after="80"/>
                  </w:pPr>
                </w:p>
                <w:p w14:paraId="6614199A" w14:textId="77777777" w:rsidR="00E5309E" w:rsidRDefault="00000000">
                  <w:pPr>
                    <w:spacing w:after="40"/>
                  </w:pPr>
                  <w:r>
                    <w:rPr>
                      <w:color w:val="7E7E7E"/>
                      <w:sz w:val="17"/>
                      <w:szCs w:val="17"/>
                    </w:rPr>
                    <w:t>Applies To</w:t>
                  </w:r>
                </w:p>
                <w:p w14:paraId="2C27063C" w14:textId="77777777" w:rsidR="00E5309E" w:rsidRDefault="00000000">
                  <w:r>
                    <w:rPr>
                      <w:b/>
                      <w:bCs/>
                      <w:color w:val="FFFFFF"/>
                    </w:rPr>
                    <w:t xml:space="preserve">Power BI · HTML · Data </w:t>
                  </w:r>
                  <w:proofErr w:type="spellStart"/>
                  <w:r>
                    <w:rPr>
                      <w:b/>
                      <w:bCs/>
                      <w:color w:val="FFFFFF"/>
                    </w:rPr>
                    <w:t>Visualisation</w:t>
                  </w:r>
                  <w:proofErr w:type="spellEnd"/>
                </w:p>
                <w:p w14:paraId="7026E4BD" w14:textId="77777777" w:rsidR="00E5309E" w:rsidRDefault="00E5309E">
                  <w:pPr>
                    <w:spacing w:before="80" w:after="80"/>
                  </w:pPr>
                </w:p>
                <w:p w14:paraId="1F2228AA" w14:textId="77777777" w:rsidR="00E5309E" w:rsidRDefault="00000000">
                  <w:pPr>
                    <w:spacing w:after="40"/>
                  </w:pPr>
                  <w:r>
                    <w:rPr>
                      <w:color w:val="7E7E7E"/>
                      <w:sz w:val="17"/>
                      <w:szCs w:val="17"/>
                    </w:rPr>
                    <w:t>Review Cycle</w:t>
                  </w:r>
                </w:p>
                <w:p w14:paraId="7C7EBAED" w14:textId="77777777" w:rsidR="00E5309E" w:rsidRDefault="00000000">
                  <w:r>
                    <w:rPr>
                      <w:b/>
                      <w:bCs/>
                      <w:color w:val="FFFFFF"/>
                    </w:rPr>
                    <w:t>Annual or upon brand update</w:t>
                  </w:r>
                </w:p>
              </w:tc>
            </w:tr>
          </w:tbl>
          <w:p w14:paraId="41C994D3" w14:textId="77777777" w:rsidR="00E5309E" w:rsidRDefault="00E5309E"/>
        </w:tc>
      </w:tr>
    </w:tbl>
    <w:p w14:paraId="787E2C81" w14:textId="77777777" w:rsidR="00E5309E" w:rsidRDefault="00E5309E">
      <w:pPr>
        <w:spacing w:before="80" w:after="80"/>
      </w:pPr>
    </w:p>
    <w:p w14:paraId="1B7E4AED" w14:textId="77777777" w:rsidR="00E5309E" w:rsidRDefault="00E5309E">
      <w:pPr>
        <w:spacing w:before="80" w:after="8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6"/>
        <w:gridCol w:w="2016"/>
        <w:gridCol w:w="2016"/>
        <w:gridCol w:w="2016"/>
        <w:gridCol w:w="2016"/>
      </w:tblGrid>
      <w:tr w:rsidR="00E5309E" w14:paraId="029C7927" w14:textId="77777777">
        <w:tc>
          <w:tcPr>
            <w:tcW w:w="20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6E3CB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0D1587" w14:textId="77777777" w:rsidR="00E5309E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Purple</w:t>
            </w:r>
          </w:p>
        </w:tc>
        <w:tc>
          <w:tcPr>
            <w:tcW w:w="20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A9BC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FFB50F" w14:textId="77777777" w:rsidR="00E5309E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Blue</w:t>
            </w:r>
          </w:p>
        </w:tc>
        <w:tc>
          <w:tcPr>
            <w:tcW w:w="20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B40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D1D233" w14:textId="77777777" w:rsidR="00E5309E" w:rsidRDefault="00000000">
            <w:pPr>
              <w:spacing w:before="60" w:after="60"/>
            </w:pPr>
            <w:r>
              <w:rPr>
                <w:b/>
                <w:bCs/>
                <w:sz w:val="18"/>
                <w:szCs w:val="18"/>
              </w:rPr>
              <w:t>Yellow</w:t>
            </w:r>
          </w:p>
        </w:tc>
        <w:tc>
          <w:tcPr>
            <w:tcW w:w="20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640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79A886" w14:textId="77777777" w:rsidR="00E5309E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Orange</w:t>
            </w:r>
          </w:p>
        </w:tc>
        <w:tc>
          <w:tcPr>
            <w:tcW w:w="201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B17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42E6C8" w14:textId="77777777" w:rsidR="00E5309E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Green</w:t>
            </w:r>
          </w:p>
        </w:tc>
      </w:tr>
    </w:tbl>
    <w:p w14:paraId="47E06F43" w14:textId="77777777" w:rsidR="00E5309E" w:rsidRDefault="00E5309E">
      <w:pPr>
        <w:spacing w:before="80" w:after="80"/>
      </w:pPr>
    </w:p>
    <w:p w14:paraId="0819299F" w14:textId="77777777" w:rsidR="00E5309E" w:rsidRDefault="00E5309E">
      <w:pPr>
        <w:spacing w:before="80" w:after="80"/>
      </w:pPr>
    </w:p>
    <w:p w14:paraId="485E7FCB" w14:textId="77777777" w:rsidR="00E5309E" w:rsidRDefault="00E5309E">
      <w:pPr>
        <w:spacing w:before="80" w:after="80"/>
      </w:pPr>
    </w:p>
    <w:p w14:paraId="6C597013" w14:textId="77777777" w:rsidR="00E5309E" w:rsidRDefault="00E5309E">
      <w:pPr>
        <w:pageBreakBefore/>
      </w:pPr>
    </w:p>
    <w:p w14:paraId="3E2D873B" w14:textId="77777777" w:rsidR="00E5309E" w:rsidRDefault="00000000">
      <w:pPr>
        <w:pStyle w:val="Heading2"/>
      </w:pPr>
      <w:r>
        <w:t>Table of Contents</w:t>
      </w:r>
    </w:p>
    <w:p w14:paraId="73A9C5DC" w14:textId="77777777" w:rsidR="00E5309E" w:rsidRDefault="00E5309E">
      <w:pPr>
        <w:pBdr>
          <w:bottom w:val="single" w:sz="4" w:space="1" w:color="6E3CBE"/>
        </w:pBdr>
        <w:spacing w:before="120" w:after="120"/>
      </w:pPr>
    </w:p>
    <w:p w14:paraId="53188A8C" w14:textId="77777777" w:rsidR="00E5309E" w:rsidRDefault="00E5309E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7800"/>
        <w:gridCol w:w="960"/>
      </w:tblGrid>
      <w:tr w:rsidR="00E5309E" w14:paraId="0F167DFC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6E3CBE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F87FFFD" w14:textId="77777777" w:rsidR="00E5309E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01</w:t>
            </w:r>
          </w:p>
        </w:tc>
        <w:tc>
          <w:tcPr>
            <w:tcW w:w="78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F7472AA" w14:textId="77777777" w:rsidR="00E5309E" w:rsidRDefault="00000000">
            <w:pPr>
              <w:spacing w:before="60" w:after="60"/>
            </w:pPr>
            <w:r>
              <w:rPr>
                <w:sz w:val="19"/>
                <w:szCs w:val="19"/>
              </w:rPr>
              <w:t>Brand Analysis &amp; Style Guide Extraction</w:t>
            </w:r>
          </w:p>
        </w:tc>
        <w:tc>
          <w:tcPr>
            <w:tcW w:w="9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5FB102" w14:textId="77777777" w:rsidR="00E5309E" w:rsidRDefault="00000000">
            <w:pPr>
              <w:jc w:val="right"/>
            </w:pPr>
            <w:r>
              <w:rPr>
                <w:color w:val="7E7E7E"/>
                <w:sz w:val="17"/>
                <w:szCs w:val="17"/>
              </w:rPr>
              <w:t>3</w:t>
            </w:r>
          </w:p>
        </w:tc>
      </w:tr>
      <w:tr w:rsidR="00E5309E" w14:paraId="661CEF5D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6E3CBE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CEBE15E" w14:textId="77777777" w:rsidR="00E5309E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02</w:t>
            </w:r>
          </w:p>
        </w:tc>
        <w:tc>
          <w:tcPr>
            <w:tcW w:w="78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031D586" w14:textId="48D2CF57" w:rsidR="00E5309E" w:rsidRDefault="00BD68BB">
            <w:pPr>
              <w:spacing w:before="60" w:after="60"/>
            </w:pPr>
            <w:r>
              <w:rPr>
                <w:sz w:val="19"/>
                <w:szCs w:val="19"/>
              </w:rPr>
              <w:t>Color Standards</w:t>
            </w:r>
          </w:p>
        </w:tc>
        <w:tc>
          <w:tcPr>
            <w:tcW w:w="9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D9519F" w14:textId="77777777" w:rsidR="00E5309E" w:rsidRDefault="00000000">
            <w:pPr>
              <w:jc w:val="right"/>
            </w:pPr>
            <w:r>
              <w:rPr>
                <w:color w:val="7E7E7E"/>
                <w:sz w:val="17"/>
                <w:szCs w:val="17"/>
              </w:rPr>
              <w:t>4</w:t>
            </w:r>
          </w:p>
        </w:tc>
      </w:tr>
      <w:tr w:rsidR="00E5309E" w14:paraId="11F96CD2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6E3CBE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17C23D" w14:textId="77777777" w:rsidR="00E5309E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03</w:t>
            </w:r>
          </w:p>
        </w:tc>
        <w:tc>
          <w:tcPr>
            <w:tcW w:w="78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4D838DE1" w14:textId="77777777" w:rsidR="00E5309E" w:rsidRDefault="00000000">
            <w:pPr>
              <w:spacing w:before="60" w:after="60"/>
            </w:pPr>
            <w:r>
              <w:rPr>
                <w:sz w:val="19"/>
                <w:szCs w:val="19"/>
              </w:rPr>
              <w:t>Typography Standards</w:t>
            </w:r>
          </w:p>
        </w:tc>
        <w:tc>
          <w:tcPr>
            <w:tcW w:w="9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E6C3FC" w14:textId="77777777" w:rsidR="00E5309E" w:rsidRDefault="00000000">
            <w:pPr>
              <w:jc w:val="right"/>
            </w:pPr>
            <w:r>
              <w:rPr>
                <w:color w:val="7E7E7E"/>
                <w:sz w:val="17"/>
                <w:szCs w:val="17"/>
              </w:rPr>
              <w:t>6</w:t>
            </w:r>
          </w:p>
        </w:tc>
      </w:tr>
      <w:tr w:rsidR="00E5309E" w14:paraId="133B3042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6E3CBE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D078B3" w14:textId="77777777" w:rsidR="00E5309E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04</w:t>
            </w:r>
          </w:p>
        </w:tc>
        <w:tc>
          <w:tcPr>
            <w:tcW w:w="78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0B33EA5" w14:textId="77777777" w:rsidR="00E5309E" w:rsidRDefault="00000000">
            <w:pPr>
              <w:spacing w:before="60" w:after="60"/>
            </w:pPr>
            <w:r>
              <w:rPr>
                <w:sz w:val="19"/>
                <w:szCs w:val="19"/>
              </w:rPr>
              <w:t>Layout &amp; Spacing Standards</w:t>
            </w:r>
          </w:p>
        </w:tc>
        <w:tc>
          <w:tcPr>
            <w:tcW w:w="9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777350E" w14:textId="77777777" w:rsidR="00E5309E" w:rsidRDefault="00000000">
            <w:pPr>
              <w:jc w:val="right"/>
            </w:pPr>
            <w:r>
              <w:rPr>
                <w:color w:val="7E7E7E"/>
                <w:sz w:val="17"/>
                <w:szCs w:val="17"/>
              </w:rPr>
              <w:t>7</w:t>
            </w:r>
          </w:p>
        </w:tc>
      </w:tr>
      <w:tr w:rsidR="00E5309E" w14:paraId="0CE4D51C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A9BCD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0B7031B" w14:textId="77777777" w:rsidR="00E5309E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05</w:t>
            </w:r>
          </w:p>
        </w:tc>
        <w:tc>
          <w:tcPr>
            <w:tcW w:w="78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7FF0650" w14:textId="77777777" w:rsidR="00E5309E" w:rsidRDefault="00000000">
            <w:pPr>
              <w:spacing w:before="60" w:after="60"/>
            </w:pPr>
            <w:r>
              <w:rPr>
                <w:sz w:val="19"/>
                <w:szCs w:val="19"/>
              </w:rPr>
              <w:t>UI Component Standards</w:t>
            </w:r>
          </w:p>
        </w:tc>
        <w:tc>
          <w:tcPr>
            <w:tcW w:w="9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DA20D4B" w14:textId="77777777" w:rsidR="00E5309E" w:rsidRDefault="00000000">
            <w:pPr>
              <w:jc w:val="right"/>
            </w:pPr>
            <w:r>
              <w:rPr>
                <w:color w:val="7E7E7E"/>
                <w:sz w:val="17"/>
                <w:szCs w:val="17"/>
              </w:rPr>
              <w:t>8</w:t>
            </w:r>
          </w:p>
        </w:tc>
      </w:tr>
      <w:tr w:rsidR="00E5309E" w14:paraId="10B36876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A9BCD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D04500" w14:textId="77777777" w:rsidR="00E5309E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06</w:t>
            </w:r>
          </w:p>
        </w:tc>
        <w:tc>
          <w:tcPr>
            <w:tcW w:w="78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6DF3E2D2" w14:textId="77777777" w:rsidR="00E5309E" w:rsidRDefault="00000000">
            <w:pPr>
              <w:spacing w:before="60" w:after="60"/>
            </w:pPr>
            <w:r>
              <w:rPr>
                <w:sz w:val="19"/>
                <w:szCs w:val="19"/>
              </w:rPr>
              <w:t>Chart &amp; Graph Standards</w:t>
            </w:r>
          </w:p>
        </w:tc>
        <w:tc>
          <w:tcPr>
            <w:tcW w:w="9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51799E" w14:textId="77777777" w:rsidR="00E5309E" w:rsidRDefault="00000000">
            <w:pPr>
              <w:jc w:val="right"/>
            </w:pPr>
            <w:r>
              <w:rPr>
                <w:color w:val="7E7E7E"/>
                <w:sz w:val="17"/>
                <w:szCs w:val="17"/>
              </w:rPr>
              <w:t>9</w:t>
            </w:r>
          </w:p>
        </w:tc>
      </w:tr>
      <w:tr w:rsidR="00E5309E" w14:paraId="021B2E16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A9BCD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BB23F9" w14:textId="77777777" w:rsidR="00E5309E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07</w:t>
            </w:r>
          </w:p>
        </w:tc>
        <w:tc>
          <w:tcPr>
            <w:tcW w:w="78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1F5FEEA3" w14:textId="77777777" w:rsidR="00E5309E" w:rsidRDefault="00000000">
            <w:pPr>
              <w:spacing w:before="60" w:after="60"/>
            </w:pPr>
            <w:r>
              <w:rPr>
                <w:sz w:val="19"/>
                <w:szCs w:val="19"/>
              </w:rPr>
              <w:t>KPI Card Standards</w:t>
            </w:r>
          </w:p>
        </w:tc>
        <w:tc>
          <w:tcPr>
            <w:tcW w:w="9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529B43" w14:textId="77777777" w:rsidR="00E5309E" w:rsidRDefault="00000000">
            <w:pPr>
              <w:jc w:val="right"/>
            </w:pPr>
            <w:r>
              <w:rPr>
                <w:color w:val="7E7E7E"/>
                <w:sz w:val="17"/>
                <w:szCs w:val="17"/>
              </w:rPr>
              <w:t>11</w:t>
            </w:r>
          </w:p>
        </w:tc>
      </w:tr>
      <w:tr w:rsidR="00E5309E" w14:paraId="5799DC75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B40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C3C62D" w14:textId="77777777" w:rsidR="00E5309E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08</w:t>
            </w:r>
          </w:p>
        </w:tc>
        <w:tc>
          <w:tcPr>
            <w:tcW w:w="78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C96916D" w14:textId="77777777" w:rsidR="00E5309E" w:rsidRDefault="00000000">
            <w:pPr>
              <w:spacing w:before="60" w:after="60"/>
            </w:pPr>
            <w:r>
              <w:rPr>
                <w:sz w:val="19"/>
                <w:szCs w:val="19"/>
              </w:rPr>
              <w:t>Accessibility Requirements</w:t>
            </w:r>
          </w:p>
        </w:tc>
        <w:tc>
          <w:tcPr>
            <w:tcW w:w="9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755F4B7" w14:textId="77777777" w:rsidR="00E5309E" w:rsidRDefault="00000000">
            <w:pPr>
              <w:jc w:val="right"/>
            </w:pPr>
            <w:r>
              <w:rPr>
                <w:color w:val="7E7E7E"/>
                <w:sz w:val="17"/>
                <w:szCs w:val="17"/>
              </w:rPr>
              <w:t>12</w:t>
            </w:r>
          </w:p>
        </w:tc>
      </w:tr>
      <w:tr w:rsidR="00E5309E" w14:paraId="6B47F674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6400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AB5563" w14:textId="77777777" w:rsidR="00E5309E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09</w:t>
            </w:r>
          </w:p>
        </w:tc>
        <w:tc>
          <w:tcPr>
            <w:tcW w:w="78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7BF78B7B" w14:textId="77777777" w:rsidR="00E5309E" w:rsidRDefault="00000000">
            <w:pPr>
              <w:spacing w:before="60" w:after="60"/>
            </w:pPr>
            <w:r>
              <w:rPr>
                <w:sz w:val="19"/>
                <w:szCs w:val="19"/>
              </w:rPr>
              <w:t>Dashboard Design Directions</w:t>
            </w:r>
          </w:p>
        </w:tc>
        <w:tc>
          <w:tcPr>
            <w:tcW w:w="9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AEE9B0" w14:textId="77777777" w:rsidR="00E5309E" w:rsidRDefault="00000000">
            <w:pPr>
              <w:jc w:val="right"/>
            </w:pPr>
            <w:r>
              <w:rPr>
                <w:color w:val="7E7E7E"/>
                <w:sz w:val="17"/>
                <w:szCs w:val="17"/>
              </w:rPr>
              <w:t>13</w:t>
            </w:r>
          </w:p>
        </w:tc>
      </w:tr>
      <w:tr w:rsidR="00E5309E" w14:paraId="1019EC8D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B176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2C6A119" w14:textId="77777777" w:rsidR="00E5309E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10</w:t>
            </w:r>
          </w:p>
        </w:tc>
        <w:tc>
          <w:tcPr>
            <w:tcW w:w="78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91F17B8" w14:textId="77777777" w:rsidR="00E5309E" w:rsidRDefault="00000000">
            <w:pPr>
              <w:spacing w:before="60" w:after="60"/>
            </w:pPr>
            <w:r>
              <w:rPr>
                <w:sz w:val="19"/>
                <w:szCs w:val="19"/>
              </w:rPr>
              <w:t>Power BI Developer Best Practices</w:t>
            </w:r>
          </w:p>
        </w:tc>
        <w:tc>
          <w:tcPr>
            <w:tcW w:w="9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8DDCD4E" w14:textId="77777777" w:rsidR="00E5309E" w:rsidRDefault="00000000">
            <w:pPr>
              <w:jc w:val="right"/>
            </w:pPr>
            <w:r>
              <w:rPr>
                <w:color w:val="7E7E7E"/>
                <w:sz w:val="17"/>
                <w:szCs w:val="17"/>
              </w:rPr>
              <w:t>15</w:t>
            </w:r>
          </w:p>
        </w:tc>
      </w:tr>
      <w:tr w:rsidR="00E5309E" w14:paraId="1F39F000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82828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D948E13" w14:textId="77777777" w:rsidR="00E5309E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11</w:t>
            </w:r>
          </w:p>
        </w:tc>
        <w:tc>
          <w:tcPr>
            <w:tcW w:w="78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571B5939" w14:textId="0C8085BC" w:rsidR="00E5309E" w:rsidRDefault="00000000">
            <w:pPr>
              <w:spacing w:before="60" w:after="60"/>
            </w:pPr>
            <w:r>
              <w:rPr>
                <w:sz w:val="19"/>
                <w:szCs w:val="19"/>
              </w:rPr>
              <w:t xml:space="preserve">Chart </w:t>
            </w:r>
            <w:r w:rsidR="00BD68BB">
              <w:rPr>
                <w:sz w:val="19"/>
                <w:szCs w:val="19"/>
              </w:rPr>
              <w:t>Color</w:t>
            </w:r>
            <w:r>
              <w:rPr>
                <w:sz w:val="19"/>
                <w:szCs w:val="19"/>
              </w:rPr>
              <w:t xml:space="preserve"> Strategy Options</w:t>
            </w:r>
          </w:p>
        </w:tc>
        <w:tc>
          <w:tcPr>
            <w:tcW w:w="9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F3AD63E" w14:textId="77777777" w:rsidR="00E5309E" w:rsidRDefault="00000000">
            <w:pPr>
              <w:jc w:val="right"/>
            </w:pPr>
            <w:r>
              <w:rPr>
                <w:color w:val="7E7E7E"/>
                <w:sz w:val="17"/>
                <w:szCs w:val="17"/>
              </w:rPr>
              <w:t>16</w:t>
            </w:r>
          </w:p>
        </w:tc>
      </w:tr>
      <w:tr w:rsidR="00E5309E" w14:paraId="5122A4C8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82828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B903EC" w14:textId="77777777" w:rsidR="00E5309E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78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80" w:type="dxa"/>
            </w:tcMar>
          </w:tcPr>
          <w:p w14:paraId="30D838FF" w14:textId="77777777" w:rsidR="00E5309E" w:rsidRDefault="00000000">
            <w:pPr>
              <w:spacing w:before="60" w:after="60"/>
            </w:pPr>
            <w:r>
              <w:rPr>
                <w:sz w:val="19"/>
                <w:szCs w:val="19"/>
              </w:rPr>
              <w:t>Governance &amp; Quality Checklist</w:t>
            </w:r>
          </w:p>
        </w:tc>
        <w:tc>
          <w:tcPr>
            <w:tcW w:w="9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0F5451" w14:textId="77777777" w:rsidR="00E5309E" w:rsidRDefault="00000000">
            <w:pPr>
              <w:jc w:val="right"/>
            </w:pPr>
            <w:r>
              <w:rPr>
                <w:color w:val="7E7E7E"/>
                <w:sz w:val="17"/>
                <w:szCs w:val="17"/>
              </w:rPr>
              <w:t>17</w:t>
            </w:r>
          </w:p>
        </w:tc>
      </w:tr>
    </w:tbl>
    <w:p w14:paraId="39186226" w14:textId="77777777" w:rsidR="00E5309E" w:rsidRDefault="00E5309E">
      <w:pPr>
        <w:pageBreakBefore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E5309E" w14:paraId="331D4865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6E3CBE"/>
            <w:tcMar>
              <w:top w:w="120" w:type="dxa"/>
              <w:left w:w="120" w:type="dxa"/>
              <w:bottom w:w="120" w:type="dxa"/>
              <w:right w:w="80" w:type="dxa"/>
            </w:tcMar>
            <w:vAlign w:val="center"/>
          </w:tcPr>
          <w:p w14:paraId="777A2F4E" w14:textId="77777777" w:rsidR="00E5309E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01</w:t>
            </w:r>
          </w:p>
        </w:tc>
        <w:tc>
          <w:tcPr>
            <w:tcW w:w="8760" w:type="dxa"/>
            <w:tcBorders>
              <w:top w:val="none" w:sz="0" w:space="0" w:color="FFFFFF"/>
              <w:left w:val="single" w:sz="2" w:space="0" w:color="6E3CBE"/>
              <w:bottom w:val="none" w:sz="0" w:space="0" w:color="FFFFFF"/>
              <w:right w:val="none" w:sz="0" w:space="0" w:color="FFFFFF"/>
            </w:tcBorders>
            <w:shd w:val="clear" w:color="auto" w:fill="282828"/>
            <w:tcMar>
              <w:top w:w="120" w:type="dxa"/>
              <w:left w:w="200" w:type="dxa"/>
              <w:bottom w:w="120" w:type="dxa"/>
              <w:right w:w="120" w:type="dxa"/>
            </w:tcMar>
          </w:tcPr>
          <w:p w14:paraId="2575CBEF" w14:textId="77777777" w:rsidR="00E5309E" w:rsidRDefault="00000000">
            <w:r>
              <w:rPr>
                <w:b/>
                <w:bCs/>
                <w:color w:val="FFFFFF"/>
                <w:sz w:val="30"/>
                <w:szCs w:val="30"/>
              </w:rPr>
              <w:t>Brand Analysis &amp; Style Guide Extraction</w:t>
            </w:r>
          </w:p>
        </w:tc>
      </w:tr>
    </w:tbl>
    <w:p w14:paraId="056F29DB" w14:textId="77777777" w:rsidR="00E5309E" w:rsidRDefault="00E5309E">
      <w:pPr>
        <w:spacing w:before="80" w:after="80"/>
      </w:pPr>
    </w:p>
    <w:p w14:paraId="14A55DE6" w14:textId="2427A0CF" w:rsidR="00E5309E" w:rsidRDefault="00000000">
      <w:pPr>
        <w:spacing w:before="60" w:after="60"/>
      </w:pPr>
      <w:r>
        <w:t xml:space="preserve">This section documents the complete brand extraction from the </w:t>
      </w:r>
      <w:r w:rsidR="00BB0CFE">
        <w:t>Test Company</w:t>
      </w:r>
      <w:r>
        <w:t xml:space="preserve"> Document Solutions Brand Hub, translated into actionable standards for Power BI and digital dashboard design.</w:t>
      </w:r>
    </w:p>
    <w:p w14:paraId="271001E5" w14:textId="77777777" w:rsidR="00E5309E" w:rsidRDefault="00E5309E">
      <w:pPr>
        <w:spacing w:before="80" w:after="80"/>
      </w:pPr>
    </w:p>
    <w:p w14:paraId="2C2570A8" w14:textId="77777777" w:rsidR="00E5309E" w:rsidRDefault="00000000">
      <w:pPr>
        <w:pStyle w:val="Heading3"/>
      </w:pPr>
      <w:r>
        <w:t>Brand Philosophy</w:t>
      </w:r>
    </w:p>
    <w:p w14:paraId="335F94EE" w14:textId="4358D999" w:rsidR="00E5309E" w:rsidRDefault="00000000">
      <w:pPr>
        <w:spacing w:before="60" w:after="60"/>
      </w:pPr>
      <w:r>
        <w:t xml:space="preserve">The </w:t>
      </w:r>
      <w:r w:rsidR="00BB0CFE">
        <w:t>Test Company</w:t>
      </w:r>
      <w:r>
        <w:t xml:space="preserve"> Document Solutions visual identity is built on restraint and clarity. The primary palette of Dark </w:t>
      </w:r>
      <w:proofErr w:type="gramStart"/>
      <w:r>
        <w:t>Grey (#</w:t>
      </w:r>
      <w:proofErr w:type="gramEnd"/>
      <w:r>
        <w:t xml:space="preserve">282828) and Light </w:t>
      </w:r>
      <w:proofErr w:type="gramStart"/>
      <w:r>
        <w:t>Grey (#</w:t>
      </w:r>
      <w:proofErr w:type="gramEnd"/>
      <w:r>
        <w:t xml:space="preserve">F2F2F2) forms the structural foundation — occupying </w:t>
      </w:r>
      <w:proofErr w:type="gramStart"/>
      <w:r>
        <w:t>the majority of</w:t>
      </w:r>
      <w:proofErr w:type="gramEnd"/>
      <w:r>
        <w:t xml:space="preserve"> visual space. Secondary </w:t>
      </w:r>
      <w:r w:rsidR="00BD68BB">
        <w:t>color</w:t>
      </w:r>
      <w:r>
        <w:t>s serve as highlights and accents only, providing expression without overwhelming the professional tone.</w:t>
      </w:r>
    </w:p>
    <w:p w14:paraId="74E13544" w14:textId="77777777" w:rsidR="00E5309E" w:rsidRDefault="00E5309E">
      <w:pPr>
        <w:spacing w:before="80" w:after="80"/>
      </w:pPr>
    </w:p>
    <w:p w14:paraId="7EC5647D" w14:textId="77777777" w:rsidR="00E5309E" w:rsidRDefault="00000000">
      <w:pPr>
        <w:spacing w:before="60" w:after="60"/>
      </w:pPr>
      <w:r>
        <w:t>This philosophy maps directly to enterprise dashboard design. The correct approach is:</w:t>
      </w:r>
    </w:p>
    <w:p w14:paraId="75AD1A19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>70–80% of the dashboard should use primary greys (background, containers, nav)</w:t>
      </w:r>
    </w:p>
    <w:p w14:paraId="0CCF39AE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>15–25% should use white for card surfaces and content areas</w:t>
      </w:r>
    </w:p>
    <w:p w14:paraId="04E480C9" w14:textId="285B38DD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5–10% should use secondary accent </w:t>
      </w:r>
      <w:r w:rsidR="00BD68BB">
        <w:t>color</w:t>
      </w:r>
      <w:r>
        <w:t>s for data, KPIs, and highlights</w:t>
      </w:r>
    </w:p>
    <w:p w14:paraId="4D2D57D1" w14:textId="77777777" w:rsidR="00E5309E" w:rsidRDefault="00E5309E">
      <w:pPr>
        <w:spacing w:before="80" w:after="80"/>
      </w:pPr>
    </w:p>
    <w:p w14:paraId="5F8EBAA0" w14:textId="7B3C2ACF" w:rsidR="00E5309E" w:rsidRDefault="00BD68BB">
      <w:pPr>
        <w:pStyle w:val="Heading3"/>
      </w:pPr>
      <w:r>
        <w:t>Color Ratio Guidance (from Brand Hub)</w:t>
      </w:r>
    </w:p>
    <w:p w14:paraId="019A73D4" w14:textId="123E977E" w:rsidR="00E5309E" w:rsidRDefault="00000000">
      <w:pPr>
        <w:spacing w:before="60" w:after="60"/>
      </w:pPr>
      <w:r>
        <w:t xml:space="preserve">The Brand Hub explicitly defines a </w:t>
      </w:r>
      <w:r w:rsidR="00BD68BB">
        <w:t>color</w:t>
      </w:r>
      <w:r>
        <w:t xml:space="preserve"> ratio wheel showing Dark Grey dominating (~60%), Light Grey secondary (~30%), with all five secondary </w:t>
      </w:r>
      <w:r w:rsidR="00BD68BB">
        <w:t>color</w:t>
      </w:r>
      <w:r>
        <w:t>s combined occupying only ~10% of a given composition. This directly informs our dashboard layout philosophy.</w:t>
      </w:r>
    </w:p>
    <w:p w14:paraId="1D5A4E7B" w14:textId="77777777" w:rsidR="00E5309E" w:rsidRDefault="00E5309E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7"/>
        <w:gridCol w:w="8773"/>
      </w:tblGrid>
      <w:tr w:rsidR="00E5309E" w14:paraId="3CBCCDC3" w14:textId="77777777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6E3CB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817C95" w14:textId="77777777" w:rsidR="00E5309E" w:rsidRDefault="00000000">
            <w:r>
              <w:rPr>
                <w:b/>
                <w:bCs/>
                <w:color w:val="FFFFFF"/>
                <w:sz w:val="16"/>
                <w:szCs w:val="16"/>
              </w:rPr>
              <w:t>NOTE</w:t>
            </w:r>
          </w:p>
        </w:tc>
        <w:tc>
          <w:tcPr>
            <w:tcW w:w="8960" w:type="dxa"/>
            <w:tcBorders>
              <w:top w:val="none" w:sz="0" w:space="0" w:color="FFFFFF"/>
              <w:left w:val="single" w:sz="4" w:space="0" w:color="6E3CBE"/>
              <w:bottom w:val="none" w:sz="0" w:space="0" w:color="FFFFFF"/>
              <w:right w:val="none" w:sz="0" w:space="0" w:color="FFFFFF"/>
            </w:tcBorders>
            <w:shd w:val="clear" w:color="auto" w:fill="F4F0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7E95326F" w14:textId="5F23A319" w:rsidR="00E5309E" w:rsidRDefault="00000000">
            <w:r>
              <w:rPr>
                <w:sz w:val="18"/>
                <w:szCs w:val="18"/>
              </w:rPr>
              <w:t xml:space="preserve">The </w:t>
            </w:r>
            <w:r w:rsidR="00BB0CFE">
              <w:rPr>
                <w:sz w:val="18"/>
                <w:szCs w:val="18"/>
              </w:rPr>
              <w:t>Test Company</w:t>
            </w:r>
            <w:r>
              <w:rPr>
                <w:sz w:val="18"/>
                <w:szCs w:val="18"/>
              </w:rPr>
              <w:t xml:space="preserve"> Brand Hub </w:t>
            </w:r>
            <w:r w:rsidR="00BD68BB">
              <w:rPr>
                <w:sz w:val="18"/>
                <w:szCs w:val="18"/>
              </w:rPr>
              <w:t>color</w:t>
            </w:r>
            <w:r>
              <w:rPr>
                <w:sz w:val="18"/>
                <w:szCs w:val="18"/>
              </w:rPr>
              <w:t xml:space="preserve"> ratio wheel is an authoritative guide. Dashboard designs must </w:t>
            </w:r>
            <w:proofErr w:type="spellStart"/>
            <w:r>
              <w:rPr>
                <w:sz w:val="18"/>
                <w:szCs w:val="18"/>
              </w:rPr>
              <w:t>honour</w:t>
            </w:r>
            <w:proofErr w:type="spellEnd"/>
            <w:r>
              <w:rPr>
                <w:sz w:val="18"/>
                <w:szCs w:val="18"/>
              </w:rPr>
              <w:t xml:space="preserve"> this ratio — avoid over-application of accent </w:t>
            </w:r>
            <w:r w:rsidR="00BD68BB">
              <w:rPr>
                <w:sz w:val="18"/>
                <w:szCs w:val="18"/>
              </w:rPr>
              <w:t>color</w:t>
            </w:r>
            <w:r>
              <w:rPr>
                <w:sz w:val="18"/>
                <w:szCs w:val="18"/>
              </w:rPr>
              <w:t>s.</w:t>
            </w:r>
          </w:p>
        </w:tc>
      </w:tr>
    </w:tbl>
    <w:p w14:paraId="322E969F" w14:textId="77777777" w:rsidR="00E5309E" w:rsidRDefault="00E5309E">
      <w:pPr>
        <w:spacing w:before="80" w:after="80"/>
      </w:pPr>
    </w:p>
    <w:p w14:paraId="40551100" w14:textId="77777777" w:rsidR="00E5309E" w:rsidRDefault="00E5309E">
      <w:pPr>
        <w:spacing w:before="80" w:after="80"/>
      </w:pPr>
    </w:p>
    <w:p w14:paraId="1A7A1288" w14:textId="77777777" w:rsidR="00E5309E" w:rsidRDefault="00E5309E">
      <w:pPr>
        <w:pageBreakBefore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E5309E" w14:paraId="699D356E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6E3CBE"/>
            <w:tcMar>
              <w:top w:w="120" w:type="dxa"/>
              <w:left w:w="120" w:type="dxa"/>
              <w:bottom w:w="120" w:type="dxa"/>
              <w:right w:w="80" w:type="dxa"/>
            </w:tcMar>
            <w:vAlign w:val="center"/>
          </w:tcPr>
          <w:p w14:paraId="5825A39A" w14:textId="77777777" w:rsidR="00E5309E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02</w:t>
            </w:r>
          </w:p>
        </w:tc>
        <w:tc>
          <w:tcPr>
            <w:tcW w:w="8760" w:type="dxa"/>
            <w:tcBorders>
              <w:top w:val="none" w:sz="0" w:space="0" w:color="FFFFFF"/>
              <w:left w:val="single" w:sz="2" w:space="0" w:color="6E3CBE"/>
              <w:bottom w:val="none" w:sz="0" w:space="0" w:color="FFFFFF"/>
              <w:right w:val="none" w:sz="0" w:space="0" w:color="FFFFFF"/>
            </w:tcBorders>
            <w:shd w:val="clear" w:color="auto" w:fill="282828"/>
            <w:tcMar>
              <w:top w:w="120" w:type="dxa"/>
              <w:left w:w="200" w:type="dxa"/>
              <w:bottom w:w="120" w:type="dxa"/>
              <w:right w:w="120" w:type="dxa"/>
            </w:tcMar>
          </w:tcPr>
          <w:p w14:paraId="37022DA0" w14:textId="069E262A" w:rsidR="00E5309E" w:rsidRDefault="00BD68BB">
            <w:r>
              <w:rPr>
                <w:b/>
                <w:bCs/>
                <w:color w:val="FFFFFF"/>
                <w:sz w:val="30"/>
                <w:szCs w:val="30"/>
              </w:rPr>
              <w:t>Color Standards</w:t>
            </w:r>
          </w:p>
        </w:tc>
      </w:tr>
    </w:tbl>
    <w:p w14:paraId="4F17A2CA" w14:textId="77777777" w:rsidR="00E5309E" w:rsidRDefault="00E5309E">
      <w:pPr>
        <w:spacing w:before="80" w:after="80"/>
      </w:pPr>
    </w:p>
    <w:p w14:paraId="58CCF373" w14:textId="77777777" w:rsidR="00E5309E" w:rsidRDefault="00000000">
      <w:pPr>
        <w:pStyle w:val="Heading3"/>
      </w:pPr>
      <w:r>
        <w:t>Primary Palette</w:t>
      </w:r>
    </w:p>
    <w:p w14:paraId="49A47B56" w14:textId="07C5AF24" w:rsidR="00E5309E" w:rsidRDefault="00000000">
      <w:pPr>
        <w:spacing w:before="60" w:after="60"/>
      </w:pPr>
      <w:r>
        <w:t xml:space="preserve">The primary palette forms the structural foundation of all dashboards. These </w:t>
      </w:r>
      <w:r w:rsidR="00BD68BB">
        <w:t>color</w:t>
      </w:r>
      <w:r>
        <w:t>s are applied to backgrounds, navigation, borders, and text.</w:t>
      </w:r>
    </w:p>
    <w:p w14:paraId="461C760C" w14:textId="77777777" w:rsidR="00E5309E" w:rsidRDefault="00E5309E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2200"/>
        <w:gridCol w:w="1400"/>
        <w:gridCol w:w="1800"/>
        <w:gridCol w:w="3460"/>
      </w:tblGrid>
      <w:tr w:rsidR="00E5309E" w14:paraId="711B7AD6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E9821A" w14:textId="77777777" w:rsidR="00E5309E" w:rsidRDefault="00000000">
            <w:pPr>
              <w:spacing w:before="60" w:after="60"/>
            </w:pPr>
            <w:r>
              <w:t xml:space="preserve"> 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EEEE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530EDD2" w14:textId="77777777" w:rsidR="00E5309E" w:rsidRDefault="00000000">
            <w:pPr>
              <w:spacing w:before="60" w:after="60"/>
            </w:pPr>
            <w:r>
              <w:rPr>
                <w:b/>
                <w:bCs/>
                <w:sz w:val="17"/>
                <w:szCs w:val="17"/>
              </w:rPr>
              <w:t>Name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EEEE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31206AFB" w14:textId="77777777" w:rsidR="00E5309E" w:rsidRDefault="00000000">
            <w:pPr>
              <w:spacing w:before="60" w:after="60"/>
            </w:pPr>
            <w:r>
              <w:rPr>
                <w:b/>
                <w:bCs/>
                <w:sz w:val="17"/>
                <w:szCs w:val="17"/>
              </w:rPr>
              <w:t>Hex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EEEE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43B4E2EB" w14:textId="77777777" w:rsidR="00E5309E" w:rsidRDefault="00000000">
            <w:pPr>
              <w:spacing w:before="60" w:after="60"/>
            </w:pPr>
            <w:r>
              <w:rPr>
                <w:b/>
                <w:bCs/>
                <w:sz w:val="17"/>
                <w:szCs w:val="17"/>
              </w:rPr>
              <w:t>RGB</w:t>
            </w:r>
          </w:p>
        </w:tc>
        <w:tc>
          <w:tcPr>
            <w:tcW w:w="34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EEEE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0D723302" w14:textId="77777777" w:rsidR="00E5309E" w:rsidRDefault="00000000">
            <w:pPr>
              <w:spacing w:before="60" w:after="60"/>
            </w:pPr>
            <w:r>
              <w:rPr>
                <w:b/>
                <w:bCs/>
                <w:sz w:val="17"/>
                <w:szCs w:val="17"/>
              </w:rPr>
              <w:t>Dashboard Usage</w:t>
            </w:r>
          </w:p>
        </w:tc>
      </w:tr>
      <w:tr w:rsidR="00E5309E" w14:paraId="75A27A34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82828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6445CE7" w14:textId="77777777" w:rsidR="00E5309E" w:rsidRDefault="00000000">
            <w:pPr>
              <w:spacing w:before="60" w:after="60"/>
            </w:pPr>
            <w:r>
              <w:t xml:space="preserve"> 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47ACD8D1" w14:textId="1975B0FA" w:rsidR="00E5309E" w:rsidRDefault="00BB0CFE">
            <w:pPr>
              <w:spacing w:before="60" w:after="60"/>
            </w:pPr>
            <w:r>
              <w:rPr>
                <w:b/>
                <w:bCs/>
                <w:sz w:val="19"/>
                <w:szCs w:val="19"/>
              </w:rPr>
              <w:t>Test Company Dark Grey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4D06AE08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#282828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144F3629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RGB 40, 40, 40</w:t>
            </w:r>
          </w:p>
        </w:tc>
        <w:tc>
          <w:tcPr>
            <w:tcW w:w="34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3DDD80C9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Nav bars, table headers, dark backgrounds, text</w:t>
            </w:r>
          </w:p>
        </w:tc>
      </w:tr>
      <w:tr w:rsidR="00E5309E" w14:paraId="6FF168B6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2F2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5371F43" w14:textId="77777777" w:rsidR="00E5309E" w:rsidRDefault="00000000">
            <w:pPr>
              <w:spacing w:before="60" w:after="60"/>
            </w:pPr>
            <w:r>
              <w:t xml:space="preserve"> 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5EB74FA3" w14:textId="230677B1" w:rsidR="00E5309E" w:rsidRDefault="00BB0CFE">
            <w:pPr>
              <w:spacing w:before="60" w:after="60"/>
            </w:pPr>
            <w:r>
              <w:rPr>
                <w:b/>
                <w:bCs/>
                <w:sz w:val="19"/>
                <w:szCs w:val="19"/>
              </w:rPr>
              <w:t>Test Company Light Grey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39771B9F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#F2F2F2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296B82D2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RGB 242, 242, 242</w:t>
            </w:r>
          </w:p>
        </w:tc>
        <w:tc>
          <w:tcPr>
            <w:tcW w:w="34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1C8686E3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Page backgrounds, card surfaces, alt rows</w:t>
            </w:r>
          </w:p>
        </w:tc>
      </w:tr>
      <w:tr w:rsidR="00E5309E" w14:paraId="100F69DE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1B4AFB71" w14:textId="77777777" w:rsidR="00E5309E" w:rsidRDefault="00000000">
            <w:pPr>
              <w:spacing w:before="60" w:after="60"/>
            </w:pPr>
            <w:r>
              <w:t xml:space="preserve"> 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269CD221" w14:textId="77777777" w:rsidR="00E5309E" w:rsidRDefault="00000000">
            <w:pPr>
              <w:spacing w:before="60" w:after="60"/>
            </w:pPr>
            <w:r>
              <w:rPr>
                <w:b/>
                <w:bCs/>
                <w:sz w:val="19"/>
                <w:szCs w:val="19"/>
              </w:rPr>
              <w:t>White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6935F8AE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#FFFFFF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569209FF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RGB 255, 255, 255</w:t>
            </w:r>
          </w:p>
        </w:tc>
        <w:tc>
          <w:tcPr>
            <w:tcW w:w="34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3B964CDC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Card surfaces, chart backgrounds, white space</w:t>
            </w:r>
          </w:p>
        </w:tc>
      </w:tr>
      <w:tr w:rsidR="00E5309E" w14:paraId="309B2868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7E7E7E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3A5D2A3D" w14:textId="77777777" w:rsidR="00E5309E" w:rsidRDefault="00000000">
            <w:pPr>
              <w:spacing w:before="60" w:after="60"/>
            </w:pPr>
            <w:r>
              <w:t xml:space="preserve"> 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232A2FAB" w14:textId="77777777" w:rsidR="00E5309E" w:rsidRDefault="00000000">
            <w:pPr>
              <w:spacing w:before="60" w:after="60"/>
            </w:pPr>
            <w:r>
              <w:rPr>
                <w:b/>
                <w:bCs/>
                <w:sz w:val="19"/>
                <w:szCs w:val="19"/>
              </w:rPr>
              <w:t>Mid Grey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24736DDE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#7E7E7E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7B4AA0B5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RGB 126, 126, 126</w:t>
            </w:r>
          </w:p>
        </w:tc>
        <w:tc>
          <w:tcPr>
            <w:tcW w:w="34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79042F65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Axis labels, muted text, prior-year series, disabled</w:t>
            </w:r>
          </w:p>
        </w:tc>
      </w:tr>
      <w:tr w:rsidR="00E5309E" w14:paraId="408D82B7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A9A9A9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B69FB37" w14:textId="77777777" w:rsidR="00E5309E" w:rsidRDefault="00000000">
            <w:pPr>
              <w:spacing w:before="60" w:after="60"/>
            </w:pPr>
            <w:r>
              <w:t xml:space="preserve"> 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3BD75A3A" w14:textId="77777777" w:rsidR="00E5309E" w:rsidRDefault="00000000">
            <w:pPr>
              <w:spacing w:before="60" w:after="60"/>
            </w:pPr>
            <w:r>
              <w:rPr>
                <w:b/>
                <w:bCs/>
                <w:sz w:val="19"/>
                <w:szCs w:val="19"/>
              </w:rPr>
              <w:t>Light Mid Grey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4FAD3677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#A9A9A9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430F5370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RGB 169, 169, 169</w:t>
            </w:r>
          </w:p>
        </w:tc>
        <w:tc>
          <w:tcPr>
            <w:tcW w:w="34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3E00D238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Gridlines, borders, dividers, placeholder text</w:t>
            </w:r>
          </w:p>
        </w:tc>
      </w:tr>
    </w:tbl>
    <w:p w14:paraId="0FDC6E31" w14:textId="77777777" w:rsidR="00E5309E" w:rsidRDefault="00E5309E">
      <w:pPr>
        <w:spacing w:before="80" w:after="80"/>
      </w:pPr>
    </w:p>
    <w:p w14:paraId="167BFAC3" w14:textId="12BAA5ED" w:rsidR="00E5309E" w:rsidRDefault="00000000">
      <w:pPr>
        <w:pStyle w:val="Heading3"/>
      </w:pPr>
      <w:r>
        <w:t xml:space="preserve">Secondary Palette (Accent </w:t>
      </w:r>
      <w:r w:rsidR="00BD68BB">
        <w:t>Color</w:t>
      </w:r>
      <w:r>
        <w:t>s)</w:t>
      </w:r>
    </w:p>
    <w:p w14:paraId="2D4FBDB8" w14:textId="0D2B03C1" w:rsidR="00E5309E" w:rsidRDefault="00000000">
      <w:pPr>
        <w:spacing w:before="60" w:after="60"/>
      </w:pPr>
      <w:r>
        <w:t xml:space="preserve">Secondary </w:t>
      </w:r>
      <w:r w:rsidR="00BD68BB">
        <w:t>color</w:t>
      </w:r>
      <w:r>
        <w:t xml:space="preserve">s are used exclusively as accents, data series </w:t>
      </w:r>
      <w:r w:rsidR="00BD68BB">
        <w:t>color</w:t>
      </w:r>
      <w:r>
        <w:t>s, KPI highlights, and semantic indicators. They must never dominate a dashboard.</w:t>
      </w:r>
    </w:p>
    <w:p w14:paraId="672DFC21" w14:textId="77777777" w:rsidR="00E5309E" w:rsidRDefault="00E5309E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2200"/>
        <w:gridCol w:w="1400"/>
        <w:gridCol w:w="1800"/>
        <w:gridCol w:w="3460"/>
      </w:tblGrid>
      <w:tr w:rsidR="00E5309E" w14:paraId="763861AA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2E7858" w14:textId="77777777" w:rsidR="00E5309E" w:rsidRDefault="00000000">
            <w:pPr>
              <w:spacing w:before="60" w:after="60"/>
            </w:pPr>
            <w:r>
              <w:t xml:space="preserve"> 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EEEE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3CBB990" w14:textId="77777777" w:rsidR="00E5309E" w:rsidRDefault="00000000">
            <w:pPr>
              <w:spacing w:before="60" w:after="60"/>
            </w:pPr>
            <w:r>
              <w:rPr>
                <w:b/>
                <w:bCs/>
                <w:sz w:val="17"/>
                <w:szCs w:val="17"/>
              </w:rPr>
              <w:t>Name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EEEE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099A8AE1" w14:textId="77777777" w:rsidR="00E5309E" w:rsidRDefault="00000000">
            <w:pPr>
              <w:spacing w:before="60" w:after="60"/>
            </w:pPr>
            <w:r>
              <w:rPr>
                <w:b/>
                <w:bCs/>
                <w:sz w:val="17"/>
                <w:szCs w:val="17"/>
              </w:rPr>
              <w:t>Hex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EEEE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08CE8ABF" w14:textId="77777777" w:rsidR="00E5309E" w:rsidRDefault="00000000">
            <w:pPr>
              <w:spacing w:before="60" w:after="60"/>
            </w:pPr>
            <w:r>
              <w:rPr>
                <w:b/>
                <w:bCs/>
                <w:sz w:val="17"/>
                <w:szCs w:val="17"/>
              </w:rPr>
              <w:t>RGB</w:t>
            </w:r>
          </w:p>
        </w:tc>
        <w:tc>
          <w:tcPr>
            <w:tcW w:w="34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EEEE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76AD6CEB" w14:textId="77777777" w:rsidR="00E5309E" w:rsidRDefault="00000000">
            <w:pPr>
              <w:spacing w:before="60" w:after="60"/>
            </w:pPr>
            <w:r>
              <w:rPr>
                <w:b/>
                <w:bCs/>
                <w:sz w:val="17"/>
                <w:szCs w:val="17"/>
              </w:rPr>
              <w:t>Dashboard Usage</w:t>
            </w:r>
          </w:p>
        </w:tc>
      </w:tr>
      <w:tr w:rsidR="00E5309E" w14:paraId="5470EE26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6E3CBE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6C079EFB" w14:textId="77777777" w:rsidR="00E5309E" w:rsidRDefault="00000000">
            <w:pPr>
              <w:spacing w:before="60" w:after="60"/>
            </w:pPr>
            <w:r>
              <w:t xml:space="preserve"> 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7B6AF67F" w14:textId="5C6F69B3" w:rsidR="00E5309E" w:rsidRDefault="00BB0CFE">
            <w:pPr>
              <w:spacing w:before="60" w:after="60"/>
            </w:pPr>
            <w:r>
              <w:rPr>
                <w:b/>
                <w:bCs/>
                <w:sz w:val="19"/>
                <w:szCs w:val="19"/>
              </w:rPr>
              <w:t>Test Company Purple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517F54F4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#6E3CBE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1CEB075C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RGB 110, 60, 190</w:t>
            </w:r>
          </w:p>
        </w:tc>
        <w:tc>
          <w:tcPr>
            <w:tcW w:w="34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7F860B6A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Series 1, primary KPI value, active navigation state</w:t>
            </w:r>
          </w:p>
        </w:tc>
      </w:tr>
      <w:tr w:rsidR="00E5309E" w14:paraId="73EC399A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A9BCD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0B6CFF66" w14:textId="77777777" w:rsidR="00E5309E" w:rsidRDefault="00000000">
            <w:pPr>
              <w:spacing w:before="60" w:after="60"/>
            </w:pPr>
            <w:r>
              <w:t xml:space="preserve"> 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6F8EAC7E" w14:textId="0C034AF0" w:rsidR="00E5309E" w:rsidRDefault="00BB0CFE">
            <w:pPr>
              <w:spacing w:before="60" w:after="60"/>
            </w:pPr>
            <w:r>
              <w:rPr>
                <w:b/>
                <w:bCs/>
                <w:sz w:val="19"/>
                <w:szCs w:val="19"/>
              </w:rPr>
              <w:t>Test Company Blue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4F7C3FB4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#0A9BCD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6CA4C5D0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RGB 10, 155, 205</w:t>
            </w:r>
          </w:p>
        </w:tc>
        <w:tc>
          <w:tcPr>
            <w:tcW w:w="34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0845AC36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Series 2, informational elements, secondary data</w:t>
            </w:r>
          </w:p>
        </w:tc>
      </w:tr>
      <w:tr w:rsidR="00E5309E" w14:paraId="09CC0C87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B400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86ACCAB" w14:textId="77777777" w:rsidR="00E5309E" w:rsidRDefault="00000000">
            <w:pPr>
              <w:spacing w:before="60" w:after="60"/>
            </w:pPr>
            <w:r>
              <w:t xml:space="preserve"> 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443AA28C" w14:textId="48275D58" w:rsidR="00E5309E" w:rsidRDefault="00BB0CFE">
            <w:pPr>
              <w:spacing w:before="60" w:after="60"/>
            </w:pPr>
            <w:r>
              <w:rPr>
                <w:b/>
                <w:bCs/>
                <w:sz w:val="19"/>
                <w:szCs w:val="19"/>
              </w:rPr>
              <w:t>Test Company Yellow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187ABA51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#F5B400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374A66A8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RGB 245, 180, 0</w:t>
            </w:r>
          </w:p>
        </w:tc>
        <w:tc>
          <w:tcPr>
            <w:tcW w:w="34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3C50FB78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Series 3, warning indicators, caution states</w:t>
            </w:r>
          </w:p>
        </w:tc>
      </w:tr>
      <w:tr w:rsidR="00E5309E" w14:paraId="161207F9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6400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74095A07" w14:textId="77777777" w:rsidR="00E5309E" w:rsidRDefault="00000000">
            <w:pPr>
              <w:spacing w:before="60" w:after="60"/>
            </w:pPr>
            <w:r>
              <w:t xml:space="preserve"> 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25CFA738" w14:textId="68493ABC" w:rsidR="00E5309E" w:rsidRDefault="00BB0CFE">
            <w:pPr>
              <w:spacing w:before="60" w:after="60"/>
            </w:pPr>
            <w:r>
              <w:rPr>
                <w:b/>
                <w:bCs/>
                <w:sz w:val="19"/>
                <w:szCs w:val="19"/>
              </w:rPr>
              <w:t>Test Company Orange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2A4EDFBE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#F06400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2EEA520B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RGB 240, 100, 0</w:t>
            </w:r>
          </w:p>
        </w:tc>
        <w:tc>
          <w:tcPr>
            <w:tcW w:w="34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6E5A378D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Series 4, negative variance, alerts, over-budget</w:t>
            </w:r>
          </w:p>
        </w:tc>
      </w:tr>
      <w:tr w:rsidR="00E5309E" w14:paraId="7AFCFA88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B176"/>
            <w:tcMar>
              <w:top w:w="80" w:type="dxa"/>
              <w:left w:w="60" w:type="dxa"/>
              <w:bottom w:w="80" w:type="dxa"/>
              <w:right w:w="60" w:type="dxa"/>
            </w:tcMar>
          </w:tcPr>
          <w:p w14:paraId="4CC896BA" w14:textId="77777777" w:rsidR="00E5309E" w:rsidRDefault="00000000">
            <w:pPr>
              <w:spacing w:before="60" w:after="60"/>
            </w:pPr>
            <w:r>
              <w:t xml:space="preserve"> 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100" w:type="dxa"/>
              <w:bottom w:w="80" w:type="dxa"/>
              <w:right w:w="60" w:type="dxa"/>
            </w:tcMar>
          </w:tcPr>
          <w:p w14:paraId="464B2B0C" w14:textId="49E56917" w:rsidR="00E5309E" w:rsidRDefault="00BB0CFE">
            <w:pPr>
              <w:spacing w:before="60" w:after="60"/>
            </w:pPr>
            <w:r>
              <w:rPr>
                <w:b/>
                <w:bCs/>
                <w:sz w:val="19"/>
                <w:szCs w:val="19"/>
              </w:rPr>
              <w:t>Test Company Green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4CBF3E28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#00B176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5FC0535B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RGB 0, 177, 118</w:t>
            </w:r>
          </w:p>
        </w:tc>
        <w:tc>
          <w:tcPr>
            <w:tcW w:w="34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60" w:type="dxa"/>
            </w:tcMar>
          </w:tcPr>
          <w:p w14:paraId="704AA731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Positive variance, on-target, success states</w:t>
            </w:r>
          </w:p>
        </w:tc>
      </w:tr>
    </w:tbl>
    <w:p w14:paraId="56243DCC" w14:textId="77777777" w:rsidR="00E5309E" w:rsidRDefault="00E5309E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"/>
        <w:gridCol w:w="8695"/>
      </w:tblGrid>
      <w:tr w:rsidR="00E5309E" w14:paraId="5599231D" w14:textId="77777777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64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3A7D5" w14:textId="77777777" w:rsidR="00E5309E" w:rsidRDefault="00000000">
            <w:r>
              <w:rPr>
                <w:b/>
                <w:bCs/>
                <w:color w:val="FFFFFF"/>
                <w:sz w:val="16"/>
                <w:szCs w:val="16"/>
              </w:rPr>
              <w:lastRenderedPageBreak/>
              <w:t>WARN</w:t>
            </w:r>
          </w:p>
        </w:tc>
        <w:tc>
          <w:tcPr>
            <w:tcW w:w="8960" w:type="dxa"/>
            <w:tcBorders>
              <w:top w:val="none" w:sz="0" w:space="0" w:color="FFFFFF"/>
              <w:left w:val="single" w:sz="4" w:space="0" w:color="F06400"/>
              <w:bottom w:val="none" w:sz="0" w:space="0" w:color="FFFFFF"/>
              <w:right w:val="none" w:sz="0" w:space="0" w:color="FFFFFF"/>
            </w:tcBorders>
            <w:shd w:val="clear" w:color="auto" w:fill="FFF4EC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52A5F5C" w14:textId="15E0DD5B" w:rsidR="00E5309E" w:rsidRDefault="00BB0CFE">
            <w:r>
              <w:rPr>
                <w:sz w:val="18"/>
                <w:szCs w:val="18"/>
              </w:rPr>
              <w:t xml:space="preserve">Test Company </w:t>
            </w:r>
            <w:proofErr w:type="gramStart"/>
            <w:r>
              <w:rPr>
                <w:sz w:val="18"/>
                <w:szCs w:val="18"/>
              </w:rPr>
              <w:t>Green (#</w:t>
            </w:r>
            <w:proofErr w:type="gramEnd"/>
            <w:r>
              <w:rPr>
                <w:sz w:val="18"/>
                <w:szCs w:val="18"/>
              </w:rPr>
              <w:t xml:space="preserve">00B176) must NOT be used on a Light </w:t>
            </w:r>
            <w:proofErr w:type="gramStart"/>
            <w:r>
              <w:rPr>
                <w:sz w:val="18"/>
                <w:szCs w:val="18"/>
              </w:rPr>
              <w:t>Grey (#</w:t>
            </w:r>
            <w:proofErr w:type="gramEnd"/>
            <w:r>
              <w:rPr>
                <w:sz w:val="18"/>
                <w:szCs w:val="18"/>
              </w:rPr>
              <w:t xml:space="preserve">F2F2F2) background. This combination fails WCAG 2.1 contrast requirements. Always use Dark Grey text on </w:t>
            </w:r>
            <w:proofErr w:type="gramStart"/>
            <w:r>
              <w:rPr>
                <w:sz w:val="18"/>
                <w:szCs w:val="18"/>
              </w:rPr>
              <w:t>Green</w:t>
            </w:r>
            <w:proofErr w:type="gramEnd"/>
            <w:r>
              <w:rPr>
                <w:sz w:val="18"/>
                <w:szCs w:val="18"/>
              </w:rPr>
              <w:t xml:space="preserve"> backgrounds.</w:t>
            </w:r>
          </w:p>
        </w:tc>
      </w:tr>
    </w:tbl>
    <w:p w14:paraId="6EE4EF71" w14:textId="77777777" w:rsidR="00E5309E" w:rsidRDefault="00E5309E">
      <w:pPr>
        <w:spacing w:before="80" w:after="80"/>
      </w:pPr>
    </w:p>
    <w:p w14:paraId="5FC2AF12" w14:textId="77777777" w:rsidR="00E5309E" w:rsidRDefault="00000000">
      <w:pPr>
        <w:pStyle w:val="Heading3"/>
      </w:pPr>
      <w:r>
        <w:t>Tint Palette (Charts &amp; Infographics Only)</w:t>
      </w:r>
    </w:p>
    <w:p w14:paraId="4AC32A78" w14:textId="5A7DAABE" w:rsidR="00E5309E" w:rsidRDefault="00000000">
      <w:pPr>
        <w:spacing w:before="60" w:after="60"/>
      </w:pPr>
      <w:r>
        <w:t xml:space="preserve">Tints are approved for use within graphs, charts, and infographics where additional </w:t>
      </w:r>
      <w:r w:rsidR="00BD68BB">
        <w:t>color</w:t>
      </w:r>
      <w:r>
        <w:t xml:space="preserve"> steps are required for sequential or comparative data. Tints must never be used as background </w:t>
      </w:r>
      <w:proofErr w:type="gramStart"/>
      <w:r>
        <w:t>fills</w:t>
      </w:r>
      <w:proofErr w:type="gramEnd"/>
      <w:r>
        <w:t xml:space="preserve">, in typography, or as container </w:t>
      </w:r>
      <w:r w:rsidR="00BD68BB">
        <w:t>color</w:t>
      </w:r>
      <w:r>
        <w:t>s.</w:t>
      </w:r>
    </w:p>
    <w:p w14:paraId="3C410AC5" w14:textId="77777777" w:rsidR="00E5309E" w:rsidRDefault="00E5309E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0"/>
        <w:gridCol w:w="4720"/>
      </w:tblGrid>
      <w:tr w:rsidR="00E5309E" w14:paraId="3D3ED245" w14:textId="77777777">
        <w:tc>
          <w:tcPr>
            <w:tcW w:w="46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60" w:type="dxa"/>
            </w:tcMar>
          </w:tcPr>
          <w:p w14:paraId="264704DB" w14:textId="77777777" w:rsidR="00E5309E" w:rsidRDefault="00000000">
            <w:pPr>
              <w:spacing w:before="160" w:after="60"/>
            </w:pPr>
            <w:r>
              <w:rPr>
                <w:b/>
                <w:bCs/>
                <w:sz w:val="22"/>
                <w:szCs w:val="22"/>
              </w:rPr>
              <w:t>Purple Tints</w:t>
            </w:r>
          </w:p>
          <w:tbl>
            <w:tblPr>
              <w:tblW w:w="4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96"/>
              <w:gridCol w:w="1388"/>
              <w:gridCol w:w="837"/>
              <w:gridCol w:w="1879"/>
            </w:tblGrid>
            <w:tr w:rsidR="00E5309E" w14:paraId="5130A7FB" w14:textId="77777777">
              <w:tc>
                <w:tcPr>
                  <w:tcW w:w="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925ED2"/>
                </w:tcPr>
                <w:p w14:paraId="0D91FE82" w14:textId="77777777" w:rsidR="00E5309E" w:rsidRDefault="00000000">
                  <w:pPr>
                    <w:spacing w:before="60" w:after="60"/>
                  </w:pPr>
                  <w:r>
                    <w:t xml:space="preserve"> </w:t>
                  </w:r>
                </w:p>
              </w:tc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80" w:type="dxa"/>
                    <w:bottom w:w="40" w:type="dxa"/>
                    <w:right w:w="40" w:type="dxa"/>
                  </w:tcMar>
                </w:tcPr>
                <w:p w14:paraId="34DD7680" w14:textId="77777777" w:rsidR="00E5309E" w:rsidRDefault="00000000">
                  <w:pPr>
                    <w:spacing w:before="40" w:after="40"/>
                  </w:pPr>
                  <w:r>
                    <w:rPr>
                      <w:color w:val="7E7E7E"/>
                      <w:sz w:val="18"/>
                      <w:szCs w:val="18"/>
                    </w:rPr>
                    <w:t>Purple 75%</w:t>
                  </w:r>
                </w:p>
              </w:tc>
              <w:tc>
                <w:tcPr>
                  <w:tcW w:w="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17EBF6" w14:textId="77777777" w:rsidR="00E5309E" w:rsidRDefault="00000000">
                  <w:pPr>
                    <w:spacing w:before="40" w:after="40"/>
                  </w:pPr>
                  <w:r>
                    <w:rPr>
                      <w:rFonts w:ascii="Courier New" w:eastAsia="Courier New" w:hAnsi="Courier New" w:cs="Courier New"/>
                      <w:color w:val="7E7E7E"/>
                      <w:sz w:val="18"/>
                      <w:szCs w:val="18"/>
                    </w:rPr>
                    <w:t>#925ED2</w:t>
                  </w:r>
                </w:p>
              </w:tc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C3FF94" w14:textId="77777777" w:rsidR="00E5309E" w:rsidRDefault="00000000">
                  <w:pPr>
                    <w:spacing w:before="40" w:after="40"/>
                  </w:pPr>
                  <w:r>
                    <w:rPr>
                      <w:color w:val="7E7E7E"/>
                      <w:sz w:val="18"/>
                      <w:szCs w:val="18"/>
                    </w:rPr>
                    <w:t>Chart step 2</w:t>
                  </w:r>
                </w:p>
              </w:tc>
            </w:tr>
            <w:tr w:rsidR="00E5309E" w14:paraId="2F1294C7" w14:textId="77777777">
              <w:tc>
                <w:tcPr>
                  <w:tcW w:w="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AE87DE"/>
                </w:tcPr>
                <w:p w14:paraId="52A93282" w14:textId="77777777" w:rsidR="00E5309E" w:rsidRDefault="00000000">
                  <w:pPr>
                    <w:spacing w:before="60" w:after="60"/>
                  </w:pPr>
                  <w:r>
                    <w:t xml:space="preserve"> </w:t>
                  </w:r>
                </w:p>
              </w:tc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80" w:type="dxa"/>
                    <w:bottom w:w="40" w:type="dxa"/>
                    <w:right w:w="40" w:type="dxa"/>
                  </w:tcMar>
                </w:tcPr>
                <w:p w14:paraId="40037566" w14:textId="77777777" w:rsidR="00E5309E" w:rsidRDefault="00000000">
                  <w:pPr>
                    <w:spacing w:before="40" w:after="40"/>
                  </w:pPr>
                  <w:r>
                    <w:rPr>
                      <w:color w:val="7E7E7E"/>
                      <w:sz w:val="18"/>
                      <w:szCs w:val="18"/>
                    </w:rPr>
                    <w:t>Purple 50%</w:t>
                  </w:r>
                </w:p>
              </w:tc>
              <w:tc>
                <w:tcPr>
                  <w:tcW w:w="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BBB187" w14:textId="77777777" w:rsidR="00E5309E" w:rsidRDefault="00000000">
                  <w:pPr>
                    <w:spacing w:before="40" w:after="40"/>
                  </w:pPr>
                  <w:r>
                    <w:rPr>
                      <w:rFonts w:ascii="Courier New" w:eastAsia="Courier New" w:hAnsi="Courier New" w:cs="Courier New"/>
                      <w:color w:val="7E7E7E"/>
                      <w:sz w:val="18"/>
                      <w:szCs w:val="18"/>
                    </w:rPr>
                    <w:t>#AE87DE</w:t>
                  </w:r>
                </w:p>
              </w:tc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968254" w14:textId="77777777" w:rsidR="00E5309E" w:rsidRDefault="00000000">
                  <w:pPr>
                    <w:spacing w:before="40" w:after="40"/>
                  </w:pPr>
                  <w:r>
                    <w:rPr>
                      <w:color w:val="7E7E7E"/>
                      <w:sz w:val="18"/>
                      <w:szCs w:val="18"/>
                    </w:rPr>
                    <w:t>Chart step 3</w:t>
                  </w:r>
                </w:p>
              </w:tc>
            </w:tr>
            <w:tr w:rsidR="00E5309E" w14:paraId="06D3A417" w14:textId="77777777">
              <w:tc>
                <w:tcPr>
                  <w:tcW w:w="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9AFE9"/>
                </w:tcPr>
                <w:p w14:paraId="76E25BF9" w14:textId="77777777" w:rsidR="00E5309E" w:rsidRDefault="00000000">
                  <w:pPr>
                    <w:spacing w:before="60" w:after="60"/>
                  </w:pPr>
                  <w:r>
                    <w:t xml:space="preserve"> </w:t>
                  </w:r>
                </w:p>
              </w:tc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80" w:type="dxa"/>
                    <w:bottom w:w="40" w:type="dxa"/>
                    <w:right w:w="40" w:type="dxa"/>
                  </w:tcMar>
                </w:tcPr>
                <w:p w14:paraId="64EF5CCF" w14:textId="77777777" w:rsidR="00E5309E" w:rsidRDefault="00000000">
                  <w:pPr>
                    <w:spacing w:before="40" w:after="40"/>
                  </w:pPr>
                  <w:r>
                    <w:rPr>
                      <w:color w:val="7E7E7E"/>
                      <w:sz w:val="18"/>
                      <w:szCs w:val="18"/>
                    </w:rPr>
                    <w:t>Purple 25%</w:t>
                  </w:r>
                </w:p>
              </w:tc>
              <w:tc>
                <w:tcPr>
                  <w:tcW w:w="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C86D0E" w14:textId="77777777" w:rsidR="00E5309E" w:rsidRDefault="00000000">
                  <w:pPr>
                    <w:spacing w:before="40" w:after="40"/>
                  </w:pPr>
                  <w:r>
                    <w:rPr>
                      <w:rFonts w:ascii="Courier New" w:eastAsia="Courier New" w:hAnsi="Courier New" w:cs="Courier New"/>
                      <w:color w:val="7E7E7E"/>
                      <w:sz w:val="18"/>
                      <w:szCs w:val="18"/>
                    </w:rPr>
                    <w:t>#C9AFE9</w:t>
                  </w:r>
                </w:p>
              </w:tc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0C9598" w14:textId="77777777" w:rsidR="00E5309E" w:rsidRDefault="00000000">
                  <w:pPr>
                    <w:spacing w:before="40" w:after="40"/>
                  </w:pPr>
                  <w:r>
                    <w:rPr>
                      <w:color w:val="7E7E7E"/>
                      <w:sz w:val="18"/>
                      <w:szCs w:val="18"/>
                    </w:rPr>
                    <w:t>Area fills</w:t>
                  </w:r>
                </w:p>
              </w:tc>
            </w:tr>
            <w:tr w:rsidR="00E5309E" w14:paraId="497AFD7C" w14:textId="77777777">
              <w:tc>
                <w:tcPr>
                  <w:tcW w:w="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E4D7F4"/>
                </w:tcPr>
                <w:p w14:paraId="004ABEDB" w14:textId="77777777" w:rsidR="00E5309E" w:rsidRDefault="00000000">
                  <w:pPr>
                    <w:spacing w:before="60" w:after="60"/>
                  </w:pPr>
                  <w:r>
                    <w:t xml:space="preserve"> </w:t>
                  </w:r>
                </w:p>
              </w:tc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80" w:type="dxa"/>
                    <w:bottom w:w="40" w:type="dxa"/>
                    <w:right w:w="40" w:type="dxa"/>
                  </w:tcMar>
                </w:tcPr>
                <w:p w14:paraId="4E888963" w14:textId="77777777" w:rsidR="00E5309E" w:rsidRDefault="00000000">
                  <w:pPr>
                    <w:spacing w:before="40" w:after="40"/>
                  </w:pPr>
                  <w:r>
                    <w:rPr>
                      <w:color w:val="7E7E7E"/>
                      <w:sz w:val="18"/>
                      <w:szCs w:val="18"/>
                    </w:rPr>
                    <w:t>Purple 10%</w:t>
                  </w:r>
                </w:p>
              </w:tc>
              <w:tc>
                <w:tcPr>
                  <w:tcW w:w="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0B6CC9" w14:textId="77777777" w:rsidR="00E5309E" w:rsidRDefault="00000000">
                  <w:pPr>
                    <w:spacing w:before="40" w:after="40"/>
                  </w:pPr>
                  <w:r>
                    <w:rPr>
                      <w:rFonts w:ascii="Courier New" w:eastAsia="Courier New" w:hAnsi="Courier New" w:cs="Courier New"/>
                      <w:color w:val="7E7E7E"/>
                      <w:sz w:val="18"/>
                      <w:szCs w:val="18"/>
                    </w:rPr>
                    <w:t>#E4D7F4</w:t>
                  </w:r>
                </w:p>
              </w:tc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5950BC" w14:textId="77777777" w:rsidR="00E5309E" w:rsidRDefault="00000000">
                  <w:pPr>
                    <w:spacing w:before="40" w:after="40"/>
                  </w:pPr>
                  <w:r>
                    <w:rPr>
                      <w:color w:val="7E7E7E"/>
                      <w:sz w:val="18"/>
                      <w:szCs w:val="18"/>
                    </w:rPr>
                    <w:t xml:space="preserve">Hover states, </w:t>
                  </w:r>
                  <w:proofErr w:type="spellStart"/>
                  <w:r>
                    <w:rPr>
                      <w:color w:val="7E7E7E"/>
                      <w:sz w:val="18"/>
                      <w:szCs w:val="18"/>
                    </w:rPr>
                    <w:t>bg</w:t>
                  </w:r>
                  <w:proofErr w:type="spellEnd"/>
                </w:p>
              </w:tc>
            </w:tr>
          </w:tbl>
          <w:p w14:paraId="0E5B58F0" w14:textId="77777777" w:rsidR="00E5309E" w:rsidRDefault="00E5309E"/>
        </w:tc>
        <w:tc>
          <w:tcPr>
            <w:tcW w:w="47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60" w:type="dxa"/>
              <w:bottom w:w="0" w:type="dxa"/>
              <w:right w:w="0" w:type="dxa"/>
            </w:tcMar>
          </w:tcPr>
          <w:p w14:paraId="616FAF53" w14:textId="77777777" w:rsidR="00E5309E" w:rsidRDefault="00000000">
            <w:pPr>
              <w:spacing w:before="160" w:after="60"/>
            </w:pPr>
            <w:r>
              <w:rPr>
                <w:b/>
                <w:bCs/>
                <w:sz w:val="22"/>
                <w:szCs w:val="22"/>
              </w:rPr>
              <w:t>Blue Tints</w:t>
            </w:r>
          </w:p>
          <w:tbl>
            <w:tblPr>
              <w:tblW w:w="44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96"/>
              <w:gridCol w:w="1386"/>
              <w:gridCol w:w="837"/>
              <w:gridCol w:w="1881"/>
            </w:tblGrid>
            <w:tr w:rsidR="00E5309E" w14:paraId="12388F94" w14:textId="77777777">
              <w:tc>
                <w:tcPr>
                  <w:tcW w:w="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00B1DB"/>
                </w:tcPr>
                <w:p w14:paraId="14A5EF94" w14:textId="77777777" w:rsidR="00E5309E" w:rsidRDefault="00000000">
                  <w:pPr>
                    <w:spacing w:before="60" w:after="60"/>
                  </w:pPr>
                  <w:r>
                    <w:t xml:space="preserve"> </w:t>
                  </w:r>
                </w:p>
              </w:tc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80" w:type="dxa"/>
                    <w:bottom w:w="40" w:type="dxa"/>
                    <w:right w:w="40" w:type="dxa"/>
                  </w:tcMar>
                </w:tcPr>
                <w:p w14:paraId="3CE4ADDF" w14:textId="77777777" w:rsidR="00E5309E" w:rsidRDefault="00000000">
                  <w:pPr>
                    <w:spacing w:before="40" w:after="40"/>
                  </w:pPr>
                  <w:r>
                    <w:rPr>
                      <w:color w:val="7E7E7E"/>
                      <w:sz w:val="18"/>
                      <w:szCs w:val="18"/>
                    </w:rPr>
                    <w:t>Blue 75%</w:t>
                  </w:r>
                </w:p>
              </w:tc>
              <w:tc>
                <w:tcPr>
                  <w:tcW w:w="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F2B31" w14:textId="77777777" w:rsidR="00E5309E" w:rsidRDefault="00000000">
                  <w:pPr>
                    <w:spacing w:before="40" w:after="40"/>
                  </w:pPr>
                  <w:r>
                    <w:rPr>
                      <w:rFonts w:ascii="Courier New" w:eastAsia="Courier New" w:hAnsi="Courier New" w:cs="Courier New"/>
                      <w:color w:val="7E7E7E"/>
                      <w:sz w:val="18"/>
                      <w:szCs w:val="18"/>
                    </w:rPr>
                    <w:t>#00B1DB</w:t>
                  </w:r>
                </w:p>
              </w:tc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58AEDA" w14:textId="77777777" w:rsidR="00E5309E" w:rsidRDefault="00000000">
                  <w:pPr>
                    <w:spacing w:before="40" w:after="40"/>
                  </w:pPr>
                  <w:r>
                    <w:rPr>
                      <w:color w:val="7E7E7E"/>
                      <w:sz w:val="18"/>
                      <w:szCs w:val="18"/>
                    </w:rPr>
                    <w:t>Chart step 2</w:t>
                  </w:r>
                </w:p>
              </w:tc>
            </w:tr>
            <w:tr w:rsidR="00E5309E" w14:paraId="46AA229A" w14:textId="77777777">
              <w:tc>
                <w:tcPr>
                  <w:tcW w:w="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4AC5E5"/>
                </w:tcPr>
                <w:p w14:paraId="1EE8E4F4" w14:textId="77777777" w:rsidR="00E5309E" w:rsidRDefault="00000000">
                  <w:pPr>
                    <w:spacing w:before="60" w:after="60"/>
                  </w:pPr>
                  <w:r>
                    <w:t xml:space="preserve"> </w:t>
                  </w:r>
                </w:p>
              </w:tc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80" w:type="dxa"/>
                    <w:bottom w:w="40" w:type="dxa"/>
                    <w:right w:w="40" w:type="dxa"/>
                  </w:tcMar>
                </w:tcPr>
                <w:p w14:paraId="67A4235A" w14:textId="77777777" w:rsidR="00E5309E" w:rsidRDefault="00000000">
                  <w:pPr>
                    <w:spacing w:before="40" w:after="40"/>
                  </w:pPr>
                  <w:r>
                    <w:rPr>
                      <w:color w:val="7E7E7E"/>
                      <w:sz w:val="18"/>
                      <w:szCs w:val="18"/>
                    </w:rPr>
                    <w:t>Blue 50%</w:t>
                  </w:r>
                </w:p>
              </w:tc>
              <w:tc>
                <w:tcPr>
                  <w:tcW w:w="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ED352C" w14:textId="77777777" w:rsidR="00E5309E" w:rsidRDefault="00000000">
                  <w:pPr>
                    <w:spacing w:before="40" w:after="40"/>
                  </w:pPr>
                  <w:r>
                    <w:rPr>
                      <w:rFonts w:ascii="Courier New" w:eastAsia="Courier New" w:hAnsi="Courier New" w:cs="Courier New"/>
                      <w:color w:val="7E7E7E"/>
                      <w:sz w:val="18"/>
                      <w:szCs w:val="18"/>
                    </w:rPr>
                    <w:t>#4AC5E5</w:t>
                  </w:r>
                </w:p>
              </w:tc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1DAE08" w14:textId="77777777" w:rsidR="00E5309E" w:rsidRDefault="00000000">
                  <w:pPr>
                    <w:spacing w:before="40" w:after="40"/>
                  </w:pPr>
                  <w:r>
                    <w:rPr>
                      <w:color w:val="7E7E7E"/>
                      <w:sz w:val="18"/>
                      <w:szCs w:val="18"/>
                    </w:rPr>
                    <w:t>Chart step 3</w:t>
                  </w:r>
                </w:p>
              </w:tc>
            </w:tr>
            <w:tr w:rsidR="00E5309E" w14:paraId="5B73E4F7" w14:textId="77777777">
              <w:tc>
                <w:tcPr>
                  <w:tcW w:w="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8DD9EE"/>
                </w:tcPr>
                <w:p w14:paraId="07FE428B" w14:textId="77777777" w:rsidR="00E5309E" w:rsidRDefault="00000000">
                  <w:pPr>
                    <w:spacing w:before="60" w:after="60"/>
                  </w:pPr>
                  <w:r>
                    <w:t xml:space="preserve"> </w:t>
                  </w:r>
                </w:p>
              </w:tc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80" w:type="dxa"/>
                    <w:bottom w:w="40" w:type="dxa"/>
                    <w:right w:w="40" w:type="dxa"/>
                  </w:tcMar>
                </w:tcPr>
                <w:p w14:paraId="404B84BF" w14:textId="77777777" w:rsidR="00E5309E" w:rsidRDefault="00000000">
                  <w:pPr>
                    <w:spacing w:before="40" w:after="40"/>
                  </w:pPr>
                  <w:r>
                    <w:rPr>
                      <w:color w:val="7E7E7E"/>
                      <w:sz w:val="18"/>
                      <w:szCs w:val="18"/>
                    </w:rPr>
                    <w:t>Blue 25%</w:t>
                  </w:r>
                </w:p>
              </w:tc>
              <w:tc>
                <w:tcPr>
                  <w:tcW w:w="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305A58" w14:textId="77777777" w:rsidR="00E5309E" w:rsidRDefault="00000000">
                  <w:pPr>
                    <w:spacing w:before="40" w:after="40"/>
                  </w:pPr>
                  <w:r>
                    <w:rPr>
                      <w:rFonts w:ascii="Courier New" w:eastAsia="Courier New" w:hAnsi="Courier New" w:cs="Courier New"/>
                      <w:color w:val="7E7E7E"/>
                      <w:sz w:val="18"/>
                      <w:szCs w:val="18"/>
                    </w:rPr>
                    <w:t>#8DD9EE</w:t>
                  </w:r>
                </w:p>
              </w:tc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06BC55" w14:textId="77777777" w:rsidR="00E5309E" w:rsidRDefault="00000000">
                  <w:pPr>
                    <w:spacing w:before="40" w:after="40"/>
                  </w:pPr>
                  <w:r>
                    <w:rPr>
                      <w:color w:val="7E7E7E"/>
                      <w:sz w:val="18"/>
                      <w:szCs w:val="18"/>
                    </w:rPr>
                    <w:t>Area fills</w:t>
                  </w:r>
                </w:p>
              </w:tc>
            </w:tr>
            <w:tr w:rsidR="00E5309E" w14:paraId="6F2FD08A" w14:textId="77777777">
              <w:tc>
                <w:tcPr>
                  <w:tcW w:w="3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C7ECF6"/>
                </w:tcPr>
                <w:p w14:paraId="0823BAA4" w14:textId="77777777" w:rsidR="00E5309E" w:rsidRDefault="00000000">
                  <w:pPr>
                    <w:spacing w:before="60" w:after="60"/>
                  </w:pPr>
                  <w:r>
                    <w:t xml:space="preserve"> </w:t>
                  </w:r>
                </w:p>
              </w:tc>
              <w:tc>
                <w:tcPr>
                  <w:tcW w:w="14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80" w:type="dxa"/>
                    <w:bottom w:w="40" w:type="dxa"/>
                    <w:right w:w="40" w:type="dxa"/>
                  </w:tcMar>
                </w:tcPr>
                <w:p w14:paraId="5DBBD010" w14:textId="77777777" w:rsidR="00E5309E" w:rsidRDefault="00000000">
                  <w:pPr>
                    <w:spacing w:before="40" w:after="40"/>
                  </w:pPr>
                  <w:r>
                    <w:rPr>
                      <w:color w:val="7E7E7E"/>
                      <w:sz w:val="18"/>
                      <w:szCs w:val="18"/>
                    </w:rPr>
                    <w:t>Blue 10%</w:t>
                  </w:r>
                </w:p>
              </w:tc>
              <w:tc>
                <w:tcPr>
                  <w:tcW w:w="8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29CF48" w14:textId="77777777" w:rsidR="00E5309E" w:rsidRDefault="00000000">
                  <w:pPr>
                    <w:spacing w:before="40" w:after="40"/>
                  </w:pPr>
                  <w:r>
                    <w:rPr>
                      <w:rFonts w:ascii="Courier New" w:eastAsia="Courier New" w:hAnsi="Courier New" w:cs="Courier New"/>
                      <w:color w:val="7E7E7E"/>
                      <w:sz w:val="18"/>
                      <w:szCs w:val="18"/>
                    </w:rPr>
                    <w:t>#C7ECF6</w:t>
                  </w:r>
                </w:p>
              </w:tc>
              <w:tc>
                <w:tcPr>
                  <w:tcW w:w="19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01ABFD" w14:textId="77777777" w:rsidR="00E5309E" w:rsidRDefault="00000000">
                  <w:pPr>
                    <w:spacing w:before="40" w:after="40"/>
                  </w:pPr>
                  <w:r>
                    <w:rPr>
                      <w:color w:val="7E7E7E"/>
                      <w:sz w:val="18"/>
                      <w:szCs w:val="18"/>
                    </w:rPr>
                    <w:t>Hover states</w:t>
                  </w:r>
                </w:p>
              </w:tc>
            </w:tr>
          </w:tbl>
          <w:p w14:paraId="186030DA" w14:textId="77777777" w:rsidR="00E5309E" w:rsidRDefault="00E5309E"/>
        </w:tc>
      </w:tr>
    </w:tbl>
    <w:p w14:paraId="2E1567F3" w14:textId="77777777" w:rsidR="00E5309E" w:rsidRDefault="00E5309E">
      <w:pPr>
        <w:spacing w:before="80" w:after="80"/>
      </w:pPr>
    </w:p>
    <w:p w14:paraId="0641A8AD" w14:textId="41218A92" w:rsidR="00E5309E" w:rsidRDefault="00000000">
      <w:pPr>
        <w:pStyle w:val="Heading3"/>
      </w:pPr>
      <w:r>
        <w:t xml:space="preserve">Semantic </w:t>
      </w:r>
      <w:r w:rsidR="00BD68BB">
        <w:t>Color</w:t>
      </w:r>
      <w:r>
        <w:t xml:space="preserve"> Assignments</w:t>
      </w:r>
    </w:p>
    <w:p w14:paraId="1FF0AEB2" w14:textId="77777777" w:rsidR="00E5309E" w:rsidRDefault="00000000">
      <w:pPr>
        <w:spacing w:before="60" w:after="60"/>
      </w:pPr>
      <w:r>
        <w:t>The following semantic roles are fixed across all dashboards. Developers must not deviate from these assignments.</w:t>
      </w:r>
    </w:p>
    <w:p w14:paraId="6F6A9ED4" w14:textId="77777777" w:rsidR="00E5309E" w:rsidRDefault="00E5309E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2400"/>
        <w:gridCol w:w="1600"/>
        <w:gridCol w:w="1800"/>
        <w:gridCol w:w="3060"/>
      </w:tblGrid>
      <w:tr w:rsidR="00E5309E" w14:paraId="2A95B26B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5C25BF" w14:textId="77777777" w:rsidR="00E5309E" w:rsidRDefault="00000000">
            <w:pPr>
              <w:spacing w:before="60" w:after="60"/>
            </w:pPr>
            <w:r>
              <w:t xml:space="preserve"> 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EEEE"/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220FE9B" w14:textId="77777777" w:rsidR="00E5309E" w:rsidRDefault="00000000">
            <w:pPr>
              <w:spacing w:before="60" w:after="60"/>
            </w:pPr>
            <w:r>
              <w:rPr>
                <w:b/>
                <w:bCs/>
                <w:sz w:val="17"/>
                <w:szCs w:val="17"/>
              </w:rPr>
              <w:t>Semantic Role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D46191" w14:textId="7C5461C0" w:rsidR="00E5309E" w:rsidRDefault="00BD68BB">
            <w:pPr>
              <w:spacing w:before="60" w:after="60"/>
            </w:pPr>
            <w:r>
              <w:rPr>
                <w:b/>
                <w:bCs/>
                <w:sz w:val="17"/>
                <w:szCs w:val="17"/>
              </w:rPr>
              <w:t>Color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AFC8AD" w14:textId="77777777" w:rsidR="00E5309E" w:rsidRDefault="00000000">
            <w:pPr>
              <w:spacing w:before="60" w:after="60"/>
            </w:pPr>
            <w:r>
              <w:rPr>
                <w:b/>
                <w:bCs/>
                <w:sz w:val="17"/>
                <w:szCs w:val="17"/>
              </w:rPr>
              <w:t>Hex</w:t>
            </w:r>
          </w:p>
        </w:tc>
        <w:tc>
          <w:tcPr>
            <w:tcW w:w="30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EEEEE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B255E3" w14:textId="77777777" w:rsidR="00E5309E" w:rsidRDefault="00000000">
            <w:pPr>
              <w:spacing w:before="60" w:after="60"/>
            </w:pPr>
            <w:r>
              <w:rPr>
                <w:b/>
                <w:bCs/>
                <w:sz w:val="17"/>
                <w:szCs w:val="17"/>
              </w:rPr>
              <w:t>Example Application</w:t>
            </w:r>
          </w:p>
        </w:tc>
      </w:tr>
      <w:tr w:rsidR="00E5309E" w14:paraId="5976FC4B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shd w:val="clear" w:color="auto" w:fill="00B176"/>
          </w:tcPr>
          <w:p w14:paraId="4BEA7B40" w14:textId="77777777" w:rsidR="00E5309E" w:rsidRDefault="00000000">
            <w:pPr>
              <w:spacing w:before="60" w:after="60"/>
            </w:pPr>
            <w:r>
              <w:t xml:space="preserve"> 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D8731EB" w14:textId="77777777" w:rsidR="00E5309E" w:rsidRDefault="00000000">
            <w:pPr>
              <w:spacing w:before="60" w:after="60"/>
            </w:pPr>
            <w:r>
              <w:rPr>
                <w:b/>
                <w:bCs/>
                <w:sz w:val="18"/>
                <w:szCs w:val="18"/>
              </w:rPr>
              <w:t>Positive / On target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93053F" w14:textId="72944C44" w:rsidR="00E5309E" w:rsidRDefault="00BB0CFE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Test Company Green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3D2BEA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#00B176</w:t>
            </w:r>
          </w:p>
        </w:tc>
        <w:tc>
          <w:tcPr>
            <w:tcW w:w="30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CA644E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 xml:space="preserve">▲ above target, </w:t>
            </w:r>
            <w:proofErr w:type="spellStart"/>
            <w:r>
              <w:rPr>
                <w:color w:val="7E7E7E"/>
                <w:sz w:val="17"/>
                <w:szCs w:val="17"/>
              </w:rPr>
              <w:t>favourable</w:t>
            </w:r>
            <w:proofErr w:type="spellEnd"/>
            <w:r>
              <w:rPr>
                <w:color w:val="7E7E7E"/>
                <w:sz w:val="17"/>
                <w:szCs w:val="17"/>
              </w:rPr>
              <w:t xml:space="preserve"> variance</w:t>
            </w:r>
          </w:p>
        </w:tc>
      </w:tr>
      <w:tr w:rsidR="00E5309E" w14:paraId="55504BB6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shd w:val="clear" w:color="auto" w:fill="F06400"/>
          </w:tcPr>
          <w:p w14:paraId="44B9C21B" w14:textId="77777777" w:rsidR="00E5309E" w:rsidRDefault="00000000">
            <w:pPr>
              <w:spacing w:before="60" w:after="60"/>
            </w:pPr>
            <w:r>
              <w:t xml:space="preserve"> 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5585F20" w14:textId="77777777" w:rsidR="00E5309E" w:rsidRDefault="00000000">
            <w:pPr>
              <w:spacing w:before="60" w:after="60"/>
            </w:pPr>
            <w:r>
              <w:rPr>
                <w:b/>
                <w:bCs/>
                <w:sz w:val="18"/>
                <w:szCs w:val="18"/>
              </w:rPr>
              <w:t>Negative / Below target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4615E2" w14:textId="06BB5AE6" w:rsidR="00E5309E" w:rsidRDefault="00BB0CFE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Test Company Orange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C24EF9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#F06400</w:t>
            </w:r>
          </w:p>
        </w:tc>
        <w:tc>
          <w:tcPr>
            <w:tcW w:w="30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5C986D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▼ below target, over budget, adverse</w:t>
            </w:r>
          </w:p>
        </w:tc>
      </w:tr>
      <w:tr w:rsidR="00E5309E" w14:paraId="6DEA6908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shd w:val="clear" w:color="auto" w:fill="F5B400"/>
          </w:tcPr>
          <w:p w14:paraId="04757537" w14:textId="77777777" w:rsidR="00E5309E" w:rsidRDefault="00000000">
            <w:pPr>
              <w:spacing w:before="60" w:after="60"/>
            </w:pPr>
            <w:r>
              <w:t xml:space="preserve"> 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91E6845" w14:textId="77777777" w:rsidR="00E5309E" w:rsidRDefault="00000000">
            <w:pPr>
              <w:spacing w:before="60" w:after="60"/>
            </w:pPr>
            <w:r>
              <w:rPr>
                <w:b/>
                <w:bCs/>
                <w:sz w:val="18"/>
                <w:szCs w:val="18"/>
              </w:rPr>
              <w:t>Warning / Approaching limit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92D5C4" w14:textId="3CC7E5F3" w:rsidR="00E5309E" w:rsidRDefault="00BB0CFE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Test Company Yellow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1F8A9C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#F5B400</w:t>
            </w:r>
          </w:p>
        </w:tc>
        <w:tc>
          <w:tcPr>
            <w:tcW w:w="30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15444E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Near threshold, watch status, caution</w:t>
            </w:r>
          </w:p>
        </w:tc>
      </w:tr>
      <w:tr w:rsidR="00E5309E" w14:paraId="34FD1D44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shd w:val="clear" w:color="auto" w:fill="7E7E7E"/>
          </w:tcPr>
          <w:p w14:paraId="54CC4C1E" w14:textId="77777777" w:rsidR="00E5309E" w:rsidRDefault="00000000">
            <w:pPr>
              <w:spacing w:before="60" w:after="60"/>
            </w:pPr>
            <w:r>
              <w:t xml:space="preserve"> 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3C91109C" w14:textId="77777777" w:rsidR="00E5309E" w:rsidRDefault="00000000">
            <w:pPr>
              <w:spacing w:before="60" w:after="60"/>
            </w:pPr>
            <w:r>
              <w:rPr>
                <w:b/>
                <w:bCs/>
                <w:sz w:val="18"/>
                <w:szCs w:val="18"/>
              </w:rPr>
              <w:t>Neutral / Prior year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37183A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Mid Grey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A91D98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#7E7E7E</w:t>
            </w:r>
          </w:p>
        </w:tc>
        <w:tc>
          <w:tcPr>
            <w:tcW w:w="30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E136B9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Comparison series, disabled, muted</w:t>
            </w:r>
          </w:p>
        </w:tc>
      </w:tr>
      <w:tr w:rsidR="00E5309E" w14:paraId="1FCF23BD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shd w:val="clear" w:color="auto" w:fill="6E3CBE"/>
          </w:tcPr>
          <w:p w14:paraId="6D588D2C" w14:textId="77777777" w:rsidR="00E5309E" w:rsidRDefault="00000000">
            <w:pPr>
              <w:spacing w:before="60" w:after="60"/>
            </w:pPr>
            <w:r>
              <w:t xml:space="preserve"> 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792CB828" w14:textId="77777777" w:rsidR="00E5309E" w:rsidRDefault="00000000">
            <w:pPr>
              <w:spacing w:before="60" w:after="60"/>
            </w:pPr>
            <w:r>
              <w:rPr>
                <w:b/>
                <w:bCs/>
                <w:sz w:val="18"/>
                <w:szCs w:val="18"/>
              </w:rPr>
              <w:t>Primary KPI value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A1DB61" w14:textId="721048B8" w:rsidR="00E5309E" w:rsidRDefault="00BB0CFE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Test Company Purple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69F407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#6E3CBE</w:t>
            </w:r>
          </w:p>
        </w:tc>
        <w:tc>
          <w:tcPr>
            <w:tcW w:w="30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C37794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Main headline metric, active state</w:t>
            </w:r>
          </w:p>
        </w:tc>
      </w:tr>
      <w:tr w:rsidR="00E5309E" w14:paraId="29328008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shd w:val="clear" w:color="auto" w:fill="0A9BCD"/>
          </w:tcPr>
          <w:p w14:paraId="689ABB43" w14:textId="77777777" w:rsidR="00E5309E" w:rsidRDefault="00000000">
            <w:pPr>
              <w:spacing w:before="60" w:after="60"/>
            </w:pPr>
            <w:r>
              <w:t xml:space="preserve"> 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130EF3A0" w14:textId="77777777" w:rsidR="00E5309E" w:rsidRDefault="00000000">
            <w:pPr>
              <w:spacing w:before="60" w:after="60"/>
            </w:pPr>
            <w:r>
              <w:rPr>
                <w:b/>
                <w:bCs/>
                <w:sz w:val="18"/>
                <w:szCs w:val="18"/>
              </w:rPr>
              <w:t>Secondary KPI value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A50563" w14:textId="460DE10A" w:rsidR="00E5309E" w:rsidRDefault="00BB0CFE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Test Company Blue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CC6CA6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#0A9BCD</w:t>
            </w:r>
          </w:p>
        </w:tc>
        <w:tc>
          <w:tcPr>
            <w:tcW w:w="30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70F34D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Supporting metric, informational</w:t>
            </w:r>
          </w:p>
        </w:tc>
      </w:tr>
      <w:tr w:rsidR="00E5309E" w14:paraId="53561E5D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shd w:val="clear" w:color="auto" w:fill="CC0000"/>
          </w:tcPr>
          <w:p w14:paraId="11666915" w14:textId="77777777" w:rsidR="00E5309E" w:rsidRDefault="00000000">
            <w:pPr>
              <w:spacing w:before="60" w:after="60"/>
            </w:pPr>
            <w:r>
              <w:t xml:space="preserve"> 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60" w:type="dxa"/>
            </w:tcMar>
          </w:tcPr>
          <w:p w14:paraId="20DA0A9F" w14:textId="77777777" w:rsidR="00E5309E" w:rsidRDefault="00000000">
            <w:pPr>
              <w:spacing w:before="60" w:after="60"/>
            </w:pPr>
            <w:r>
              <w:rPr>
                <w:b/>
                <w:bCs/>
                <w:sz w:val="18"/>
                <w:szCs w:val="18"/>
              </w:rPr>
              <w:t>Critical error / Alert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D62DE2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Alert Red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AB12D1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#CC0000</w:t>
            </w:r>
          </w:p>
        </w:tc>
        <w:tc>
          <w:tcPr>
            <w:tcW w:w="30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FD9BFE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System error, critical breach</w:t>
            </w:r>
          </w:p>
        </w:tc>
      </w:tr>
    </w:tbl>
    <w:p w14:paraId="29D7AD61" w14:textId="77777777" w:rsidR="00E5309E" w:rsidRDefault="00E5309E">
      <w:pPr>
        <w:spacing w:before="80" w:after="80"/>
      </w:pPr>
    </w:p>
    <w:p w14:paraId="522322AD" w14:textId="77777777" w:rsidR="00E5309E" w:rsidRDefault="00E5309E">
      <w:pPr>
        <w:spacing w:before="80" w:after="80"/>
      </w:pPr>
    </w:p>
    <w:p w14:paraId="28F628C8" w14:textId="77777777" w:rsidR="00E5309E" w:rsidRDefault="00E5309E">
      <w:pPr>
        <w:pageBreakBefore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E5309E" w14:paraId="01C734F1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6E3CBE"/>
            <w:tcMar>
              <w:top w:w="120" w:type="dxa"/>
              <w:left w:w="120" w:type="dxa"/>
              <w:bottom w:w="120" w:type="dxa"/>
              <w:right w:w="80" w:type="dxa"/>
            </w:tcMar>
            <w:vAlign w:val="center"/>
          </w:tcPr>
          <w:p w14:paraId="068743A5" w14:textId="77777777" w:rsidR="00E5309E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03</w:t>
            </w:r>
          </w:p>
        </w:tc>
        <w:tc>
          <w:tcPr>
            <w:tcW w:w="8760" w:type="dxa"/>
            <w:tcBorders>
              <w:top w:val="none" w:sz="0" w:space="0" w:color="FFFFFF"/>
              <w:left w:val="single" w:sz="2" w:space="0" w:color="6E3CBE"/>
              <w:bottom w:val="none" w:sz="0" w:space="0" w:color="FFFFFF"/>
              <w:right w:val="none" w:sz="0" w:space="0" w:color="FFFFFF"/>
            </w:tcBorders>
            <w:shd w:val="clear" w:color="auto" w:fill="282828"/>
            <w:tcMar>
              <w:top w:w="120" w:type="dxa"/>
              <w:left w:w="200" w:type="dxa"/>
              <w:bottom w:w="120" w:type="dxa"/>
              <w:right w:w="120" w:type="dxa"/>
            </w:tcMar>
          </w:tcPr>
          <w:p w14:paraId="0E3AD342" w14:textId="77777777" w:rsidR="00E5309E" w:rsidRDefault="00000000">
            <w:r>
              <w:rPr>
                <w:b/>
                <w:bCs/>
                <w:color w:val="FFFFFF"/>
                <w:sz w:val="30"/>
                <w:szCs w:val="30"/>
              </w:rPr>
              <w:t>Typography Standards</w:t>
            </w:r>
          </w:p>
        </w:tc>
      </w:tr>
    </w:tbl>
    <w:p w14:paraId="5246AA3C" w14:textId="77777777" w:rsidR="00E5309E" w:rsidRDefault="00E5309E">
      <w:pPr>
        <w:spacing w:before="80" w:after="80"/>
      </w:pPr>
    </w:p>
    <w:p w14:paraId="7BFDB1D6" w14:textId="3A872093" w:rsidR="00E5309E" w:rsidRDefault="00000000">
      <w:pPr>
        <w:spacing w:before="60" w:after="60"/>
      </w:pPr>
      <w:r>
        <w:t xml:space="preserve">Segoe UI is the mandatory typeface for all </w:t>
      </w:r>
      <w:r w:rsidR="00BB0CFE">
        <w:t>Test Company</w:t>
      </w:r>
      <w:r>
        <w:t xml:space="preserve"> Power BI dashboards and HTML mockups. It is pre-installed on all Windows environments, aligns with Microsoft Office and Power BI defaults, and complements the clean </w:t>
      </w:r>
      <w:r w:rsidR="00BB0CFE">
        <w:t>Test Company</w:t>
      </w:r>
      <w:r>
        <w:t xml:space="preserve"> brand voice. As a fallback for non-Windows environments, use system-</w:t>
      </w:r>
      <w:proofErr w:type="spellStart"/>
      <w:r>
        <w:t>ui</w:t>
      </w:r>
      <w:proofErr w:type="spellEnd"/>
      <w:r>
        <w:t xml:space="preserve"> or sans-serif.</w:t>
      </w:r>
    </w:p>
    <w:p w14:paraId="4E9C611E" w14:textId="77777777" w:rsidR="00E5309E" w:rsidRDefault="00E5309E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3000"/>
        <w:gridCol w:w="3960"/>
      </w:tblGrid>
      <w:tr w:rsidR="00E5309E" w14:paraId="7FA995F7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82828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604697D5" w14:textId="77777777" w:rsidR="00E5309E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7"/>
                <w:szCs w:val="17"/>
              </w:rPr>
              <w:t>Element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8282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BC1B7" w14:textId="77777777" w:rsidR="00E5309E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7"/>
                <w:szCs w:val="17"/>
              </w:rPr>
              <w:t>Specification</w:t>
            </w:r>
          </w:p>
        </w:tc>
        <w:tc>
          <w:tcPr>
            <w:tcW w:w="39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8282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33C36" w14:textId="77777777" w:rsidR="00E5309E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7"/>
                <w:szCs w:val="17"/>
              </w:rPr>
              <w:t>Notes</w:t>
            </w:r>
          </w:p>
        </w:tc>
      </w:tr>
      <w:tr w:rsidR="00E5309E" w14:paraId="1F97AF32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B2756" w14:textId="77777777" w:rsidR="00E5309E" w:rsidRDefault="00000000">
            <w:pPr>
              <w:spacing w:before="60" w:after="60"/>
            </w:pPr>
            <w:r>
              <w:rPr>
                <w:b/>
                <w:bCs/>
                <w:sz w:val="19"/>
                <w:szCs w:val="19"/>
              </w:rPr>
              <w:t>Dashboard Title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0C95D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Bold / 20–24pt / #282828</w:t>
            </w:r>
          </w:p>
        </w:tc>
        <w:tc>
          <w:tcPr>
            <w:tcW w:w="39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9B453" w14:textId="47BC6F19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 xml:space="preserve">Page-level heading. Never override with accent </w:t>
            </w:r>
            <w:r w:rsidR="00BD68BB">
              <w:rPr>
                <w:color w:val="7E7E7E"/>
                <w:sz w:val="17"/>
                <w:szCs w:val="17"/>
              </w:rPr>
              <w:t>color</w:t>
            </w:r>
            <w:r>
              <w:rPr>
                <w:color w:val="7E7E7E"/>
                <w:sz w:val="17"/>
                <w:szCs w:val="17"/>
              </w:rPr>
              <w:t>s.</w:t>
            </w:r>
          </w:p>
        </w:tc>
      </w:tr>
      <w:tr w:rsidR="00E5309E" w14:paraId="5F7C3137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28CFE2" w14:textId="77777777" w:rsidR="00E5309E" w:rsidRDefault="00000000">
            <w:pPr>
              <w:spacing w:before="60" w:after="60"/>
            </w:pPr>
            <w:r>
              <w:rPr>
                <w:b/>
                <w:bCs/>
                <w:sz w:val="19"/>
                <w:szCs w:val="19"/>
              </w:rPr>
              <w:t>Report / Page Title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BBC5DA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Bold / 14–16pt / #282828</w:t>
            </w:r>
          </w:p>
        </w:tc>
        <w:tc>
          <w:tcPr>
            <w:tcW w:w="39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2113D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Section-level heading. Sentence case.</w:t>
            </w:r>
          </w:p>
        </w:tc>
      </w:tr>
      <w:tr w:rsidR="00E5309E" w14:paraId="10263D54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905F0" w14:textId="77777777" w:rsidR="00E5309E" w:rsidRDefault="00000000">
            <w:pPr>
              <w:spacing w:before="60" w:after="60"/>
            </w:pPr>
            <w:r>
              <w:rPr>
                <w:b/>
                <w:bCs/>
                <w:sz w:val="19"/>
                <w:szCs w:val="19"/>
              </w:rPr>
              <w:t>Visual Title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E5A4CC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Bold / 12</w:t>
            </w:r>
            <w:proofErr w:type="gramStart"/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pt / #</w:t>
            </w:r>
            <w:proofErr w:type="gramEnd"/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282828</w:t>
            </w:r>
          </w:p>
        </w:tc>
        <w:tc>
          <w:tcPr>
            <w:tcW w:w="39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0136E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Per-chart heading. Uppercase + letter spacing optional.</w:t>
            </w:r>
          </w:p>
        </w:tc>
      </w:tr>
      <w:tr w:rsidR="00E5309E" w14:paraId="188850A6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B753E" w14:textId="77777777" w:rsidR="00E5309E" w:rsidRDefault="00000000">
            <w:pPr>
              <w:spacing w:before="60" w:after="60"/>
            </w:pPr>
            <w:r>
              <w:rPr>
                <w:b/>
                <w:bCs/>
                <w:sz w:val="19"/>
                <w:szCs w:val="19"/>
              </w:rPr>
              <w:t>KPI Headline Value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D8811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Bold / 24–36pt / #6E3CBE</w:t>
            </w:r>
          </w:p>
        </w:tc>
        <w:tc>
          <w:tcPr>
            <w:tcW w:w="39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9C506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Primary metric number. Adjust size to card container.</w:t>
            </w:r>
          </w:p>
        </w:tc>
      </w:tr>
      <w:tr w:rsidR="00E5309E" w14:paraId="7A3341EF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A9F23" w14:textId="77777777" w:rsidR="00E5309E" w:rsidRDefault="00000000">
            <w:pPr>
              <w:spacing w:before="60" w:after="60"/>
            </w:pPr>
            <w:r>
              <w:rPr>
                <w:b/>
                <w:bCs/>
                <w:sz w:val="19"/>
                <w:szCs w:val="19"/>
              </w:rPr>
              <w:t>KPI Sub-label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7C959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Regular / 10</w:t>
            </w:r>
            <w:proofErr w:type="gramStart"/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pt / #</w:t>
            </w:r>
            <w:proofErr w:type="gramEnd"/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7E7E7E</w:t>
            </w:r>
          </w:p>
        </w:tc>
        <w:tc>
          <w:tcPr>
            <w:tcW w:w="39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427AF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Metric label above value. Uppercase, 0.06em tracking.</w:t>
            </w:r>
          </w:p>
        </w:tc>
      </w:tr>
      <w:tr w:rsidR="00E5309E" w14:paraId="1A54DD79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5541B" w14:textId="77777777" w:rsidR="00E5309E" w:rsidRDefault="00000000">
            <w:pPr>
              <w:spacing w:before="60" w:after="60"/>
            </w:pPr>
            <w:r>
              <w:rPr>
                <w:b/>
                <w:bCs/>
                <w:sz w:val="19"/>
                <w:szCs w:val="19"/>
              </w:rPr>
              <w:t>KPI Delta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84108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Regular / 11pt / semantic</w:t>
            </w:r>
          </w:p>
        </w:tc>
        <w:tc>
          <w:tcPr>
            <w:tcW w:w="39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3DD12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Green for positive, Orange for negative. Include arrow.</w:t>
            </w:r>
          </w:p>
        </w:tc>
      </w:tr>
      <w:tr w:rsidR="00E5309E" w14:paraId="01EB65BF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C12DF1" w14:textId="77777777" w:rsidR="00E5309E" w:rsidRDefault="00000000">
            <w:pPr>
              <w:spacing w:before="60" w:after="60"/>
            </w:pPr>
            <w:r>
              <w:rPr>
                <w:b/>
                <w:bCs/>
                <w:sz w:val="19"/>
                <w:szCs w:val="19"/>
              </w:rPr>
              <w:t>Axis Labels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C5F3A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Regular / 9–10pt / #7E7E7E</w:t>
            </w:r>
          </w:p>
        </w:tc>
        <w:tc>
          <w:tcPr>
            <w:tcW w:w="39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E0464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Both X and Y axes. Use abbreviations ($K, $M).</w:t>
            </w:r>
          </w:p>
        </w:tc>
      </w:tr>
      <w:tr w:rsidR="00E5309E" w14:paraId="4D178918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AF5C7" w14:textId="77777777" w:rsidR="00E5309E" w:rsidRDefault="00000000">
            <w:pPr>
              <w:spacing w:before="60" w:after="60"/>
            </w:pPr>
            <w:r>
              <w:rPr>
                <w:b/>
                <w:bCs/>
                <w:sz w:val="19"/>
                <w:szCs w:val="19"/>
              </w:rPr>
              <w:t>Data Labels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39F46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Regular / 9</w:t>
            </w:r>
            <w:proofErr w:type="gramStart"/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pt / #</w:t>
            </w:r>
            <w:proofErr w:type="gramEnd"/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282828</w:t>
            </w:r>
          </w:p>
        </w:tc>
        <w:tc>
          <w:tcPr>
            <w:tcW w:w="39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211F5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On or near chart elements. Avoid overlap.</w:t>
            </w:r>
          </w:p>
        </w:tc>
      </w:tr>
      <w:tr w:rsidR="00E5309E" w14:paraId="0938ECC8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33431" w14:textId="77777777" w:rsidR="00E5309E" w:rsidRDefault="00000000">
            <w:pPr>
              <w:spacing w:before="60" w:after="60"/>
            </w:pPr>
            <w:r>
              <w:rPr>
                <w:b/>
                <w:bCs/>
                <w:sz w:val="19"/>
                <w:szCs w:val="19"/>
              </w:rPr>
              <w:t>Table Header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25F771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Bold / 11</w:t>
            </w:r>
            <w:proofErr w:type="gramStart"/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pt / #</w:t>
            </w:r>
            <w:proofErr w:type="gramEnd"/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FFFFFF on #282828</w:t>
            </w:r>
          </w:p>
        </w:tc>
        <w:tc>
          <w:tcPr>
            <w:tcW w:w="39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29A5E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Dark Grey background with White text. All caps optional.</w:t>
            </w:r>
          </w:p>
        </w:tc>
      </w:tr>
      <w:tr w:rsidR="00E5309E" w14:paraId="3E970E96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06608" w14:textId="77777777" w:rsidR="00E5309E" w:rsidRDefault="00000000">
            <w:pPr>
              <w:spacing w:before="60" w:after="60"/>
            </w:pPr>
            <w:r>
              <w:rPr>
                <w:b/>
                <w:bCs/>
                <w:sz w:val="19"/>
                <w:szCs w:val="19"/>
              </w:rPr>
              <w:t>Table Body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B735A5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Regular / 10</w:t>
            </w:r>
            <w:proofErr w:type="gramStart"/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pt / #</w:t>
            </w:r>
            <w:proofErr w:type="gramEnd"/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282828</w:t>
            </w:r>
          </w:p>
        </w:tc>
        <w:tc>
          <w:tcPr>
            <w:tcW w:w="39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1D4A1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Standard row text. Alternating rows use #F7F7F7.</w:t>
            </w:r>
          </w:p>
        </w:tc>
      </w:tr>
      <w:tr w:rsidR="00E5309E" w14:paraId="6CC44C58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77220" w14:textId="77777777" w:rsidR="00E5309E" w:rsidRDefault="00000000">
            <w:pPr>
              <w:spacing w:before="60" w:after="60"/>
            </w:pPr>
            <w:r>
              <w:rPr>
                <w:b/>
                <w:bCs/>
                <w:sz w:val="19"/>
                <w:szCs w:val="19"/>
              </w:rPr>
              <w:t>Slicer / Filter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2031A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Regular/Bold / 11</w:t>
            </w:r>
            <w:proofErr w:type="gramStart"/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pt / #</w:t>
            </w:r>
            <w:proofErr w:type="gramEnd"/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6E3CBE</w:t>
            </w:r>
          </w:p>
        </w:tc>
        <w:tc>
          <w:tcPr>
            <w:tcW w:w="39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BDCF3D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Purple header. Standard weight for dropdown text.</w:t>
            </w:r>
          </w:p>
        </w:tc>
      </w:tr>
      <w:tr w:rsidR="00E5309E" w14:paraId="5DD0CB45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1CF78" w14:textId="77777777" w:rsidR="00E5309E" w:rsidRDefault="00000000">
            <w:pPr>
              <w:spacing w:before="60" w:after="60"/>
            </w:pPr>
            <w:r>
              <w:rPr>
                <w:b/>
                <w:bCs/>
                <w:sz w:val="19"/>
                <w:szCs w:val="19"/>
              </w:rPr>
              <w:t>Tooltip Text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1000A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Regular / 10</w:t>
            </w:r>
            <w:proofErr w:type="gramStart"/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pt / #</w:t>
            </w:r>
            <w:proofErr w:type="gramEnd"/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282828</w:t>
            </w:r>
          </w:p>
        </w:tc>
        <w:tc>
          <w:tcPr>
            <w:tcW w:w="39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B6A7B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White or Light Grey background. Dark Grey text.</w:t>
            </w:r>
          </w:p>
        </w:tc>
      </w:tr>
      <w:tr w:rsidR="00E5309E" w14:paraId="1F4DF9CA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3070F" w14:textId="77777777" w:rsidR="00E5309E" w:rsidRDefault="00000000">
            <w:pPr>
              <w:spacing w:before="60" w:after="60"/>
            </w:pPr>
            <w:r>
              <w:rPr>
                <w:b/>
                <w:bCs/>
                <w:sz w:val="19"/>
                <w:szCs w:val="19"/>
              </w:rPr>
              <w:t>Navigation Label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2A0FE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Regular / 11</w:t>
            </w:r>
            <w:proofErr w:type="gramStart"/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pt / #</w:t>
            </w:r>
            <w:proofErr w:type="gramEnd"/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888 (inactive)</w:t>
            </w:r>
          </w:p>
        </w:tc>
        <w:tc>
          <w:tcPr>
            <w:tcW w:w="39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7023F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Active state: White + Purple underline.</w:t>
            </w:r>
          </w:p>
        </w:tc>
      </w:tr>
      <w:tr w:rsidR="00E5309E" w14:paraId="2F722CAD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47821" w14:textId="77777777" w:rsidR="00E5309E" w:rsidRDefault="00000000">
            <w:pPr>
              <w:spacing w:before="60" w:after="60"/>
            </w:pPr>
            <w:r>
              <w:rPr>
                <w:b/>
                <w:bCs/>
                <w:sz w:val="19"/>
                <w:szCs w:val="19"/>
              </w:rPr>
              <w:t>Badge / Pill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3130E0" w14:textId="2AD295B5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 xml:space="preserve">Bold / 9pt / semantic </w:t>
            </w:r>
            <w:r w:rsidR="00BD68BB"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color</w:t>
            </w:r>
          </w:p>
        </w:tc>
        <w:tc>
          <w:tcPr>
            <w:tcW w:w="39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CE5A2" w14:textId="26EC0DF1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 xml:space="preserve">Match semantic </w:t>
            </w:r>
            <w:r w:rsidR="00BD68BB">
              <w:rPr>
                <w:color w:val="7E7E7E"/>
                <w:sz w:val="17"/>
                <w:szCs w:val="17"/>
              </w:rPr>
              <w:t>color</w:t>
            </w:r>
            <w:r>
              <w:rPr>
                <w:color w:val="7E7E7E"/>
                <w:sz w:val="17"/>
                <w:szCs w:val="17"/>
              </w:rPr>
              <w:t xml:space="preserve"> system. Light fill + dark text.</w:t>
            </w:r>
          </w:p>
        </w:tc>
      </w:tr>
    </w:tbl>
    <w:p w14:paraId="4A28C4DC" w14:textId="77777777" w:rsidR="00E5309E" w:rsidRDefault="00E5309E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7"/>
        <w:gridCol w:w="8773"/>
      </w:tblGrid>
      <w:tr w:rsidR="00E5309E" w14:paraId="37C79EEB" w14:textId="77777777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6E3CB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507DD" w14:textId="77777777" w:rsidR="00E5309E" w:rsidRDefault="00000000">
            <w:r>
              <w:rPr>
                <w:b/>
                <w:bCs/>
                <w:color w:val="FFFFFF"/>
                <w:sz w:val="16"/>
                <w:szCs w:val="16"/>
              </w:rPr>
              <w:t>NOTE</w:t>
            </w:r>
          </w:p>
        </w:tc>
        <w:tc>
          <w:tcPr>
            <w:tcW w:w="8960" w:type="dxa"/>
            <w:tcBorders>
              <w:top w:val="none" w:sz="0" w:space="0" w:color="FFFFFF"/>
              <w:left w:val="single" w:sz="4" w:space="0" w:color="6E3CBE"/>
              <w:bottom w:val="none" w:sz="0" w:space="0" w:color="FFFFFF"/>
              <w:right w:val="none" w:sz="0" w:space="0" w:color="FFFFFF"/>
            </w:tcBorders>
            <w:shd w:val="clear" w:color="auto" w:fill="F4F0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56DB57E4" w14:textId="77777777" w:rsidR="00E5309E" w:rsidRDefault="00000000">
            <w:r>
              <w:rPr>
                <w:sz w:val="18"/>
                <w:szCs w:val="18"/>
              </w:rPr>
              <w:t>Never use font weights below 400 (regular) or above 700 (bold) in dashboards. Use weight contrast — not additional font families — to create hierarchy.</w:t>
            </w:r>
          </w:p>
        </w:tc>
      </w:tr>
    </w:tbl>
    <w:p w14:paraId="00287617" w14:textId="77777777" w:rsidR="00E5309E" w:rsidRDefault="00E5309E">
      <w:pPr>
        <w:spacing w:before="80" w:after="80"/>
      </w:pPr>
    </w:p>
    <w:p w14:paraId="5EC6CFEA" w14:textId="77777777" w:rsidR="00E5309E" w:rsidRDefault="00E5309E">
      <w:pPr>
        <w:pageBreakBefore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E5309E" w14:paraId="6DE37968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6E3CBE"/>
            <w:tcMar>
              <w:top w:w="120" w:type="dxa"/>
              <w:left w:w="120" w:type="dxa"/>
              <w:bottom w:w="120" w:type="dxa"/>
              <w:right w:w="80" w:type="dxa"/>
            </w:tcMar>
            <w:vAlign w:val="center"/>
          </w:tcPr>
          <w:p w14:paraId="0C231B01" w14:textId="77777777" w:rsidR="00E5309E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04</w:t>
            </w:r>
          </w:p>
        </w:tc>
        <w:tc>
          <w:tcPr>
            <w:tcW w:w="8760" w:type="dxa"/>
            <w:tcBorders>
              <w:top w:val="none" w:sz="0" w:space="0" w:color="FFFFFF"/>
              <w:left w:val="single" w:sz="2" w:space="0" w:color="6E3CBE"/>
              <w:bottom w:val="none" w:sz="0" w:space="0" w:color="FFFFFF"/>
              <w:right w:val="none" w:sz="0" w:space="0" w:color="FFFFFF"/>
            </w:tcBorders>
            <w:shd w:val="clear" w:color="auto" w:fill="282828"/>
            <w:tcMar>
              <w:top w:w="120" w:type="dxa"/>
              <w:left w:w="200" w:type="dxa"/>
              <w:bottom w:w="120" w:type="dxa"/>
              <w:right w:w="120" w:type="dxa"/>
            </w:tcMar>
          </w:tcPr>
          <w:p w14:paraId="39CFA46B" w14:textId="77777777" w:rsidR="00E5309E" w:rsidRDefault="00000000">
            <w:r>
              <w:rPr>
                <w:b/>
                <w:bCs/>
                <w:color w:val="FFFFFF"/>
                <w:sz w:val="30"/>
                <w:szCs w:val="30"/>
              </w:rPr>
              <w:t>Layout &amp; Spacing Standards</w:t>
            </w:r>
          </w:p>
        </w:tc>
      </w:tr>
    </w:tbl>
    <w:p w14:paraId="4AB57122" w14:textId="77777777" w:rsidR="00E5309E" w:rsidRDefault="00E5309E">
      <w:pPr>
        <w:spacing w:before="80" w:after="80"/>
      </w:pPr>
    </w:p>
    <w:p w14:paraId="2DC203FD" w14:textId="77777777" w:rsidR="00E5309E" w:rsidRDefault="00000000">
      <w:pPr>
        <w:pStyle w:val="Heading3"/>
      </w:pPr>
      <w:r>
        <w:t>Canvas Dimensions</w:t>
      </w:r>
    </w:p>
    <w:p w14:paraId="071FC433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>Standard 16:9 canvas: 1280 × 720px (recommended for most reports)</w:t>
      </w:r>
    </w:p>
    <w:p w14:paraId="68B69059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>Large format: 1600 × 900px (analytics/operational dashboards, wide screens)</w:t>
      </w:r>
    </w:p>
    <w:p w14:paraId="3ECC8C89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>Mobile-</w:t>
      </w:r>
      <w:proofErr w:type="spellStart"/>
      <w:r>
        <w:t>optimised</w:t>
      </w:r>
      <w:proofErr w:type="spellEnd"/>
      <w:r>
        <w:t>: 320 × 568px (phone layout only)</w:t>
      </w:r>
    </w:p>
    <w:p w14:paraId="48383451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>Printed board pack: A4 or US Letter portrait</w:t>
      </w:r>
    </w:p>
    <w:p w14:paraId="2F3BEB62" w14:textId="77777777" w:rsidR="00E5309E" w:rsidRDefault="00E5309E">
      <w:pPr>
        <w:spacing w:before="80" w:after="80"/>
      </w:pPr>
    </w:p>
    <w:p w14:paraId="28C1CDEB" w14:textId="77777777" w:rsidR="00E5309E" w:rsidRDefault="00000000">
      <w:pPr>
        <w:pStyle w:val="Heading3"/>
      </w:pPr>
      <w:r>
        <w:t>Grid System</w:t>
      </w:r>
    </w:p>
    <w:p w14:paraId="2E057681" w14:textId="77777777" w:rsidR="00E5309E" w:rsidRDefault="00000000">
      <w:pPr>
        <w:spacing w:before="60" w:after="60"/>
      </w:pPr>
      <w:r>
        <w:t>Use a 12-column implicit grid system. All visual elements should align to column boundaries.</w:t>
      </w:r>
    </w:p>
    <w:p w14:paraId="22A00D4E" w14:textId="77777777" w:rsidR="00E5309E" w:rsidRDefault="00E5309E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4560"/>
      </w:tblGrid>
      <w:tr w:rsidR="00E5309E" w14:paraId="4FA4B479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82828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712B2606" w14:textId="77777777" w:rsidR="00E5309E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7"/>
                <w:szCs w:val="17"/>
              </w:rPr>
              <w:t>Layout Pattern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8282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EB954" w14:textId="77777777" w:rsidR="00E5309E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7"/>
                <w:szCs w:val="17"/>
              </w:rPr>
              <w:t>Column Split</w:t>
            </w:r>
          </w:p>
        </w:tc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8282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F89CD1" w14:textId="77777777" w:rsidR="00E5309E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7"/>
                <w:szCs w:val="17"/>
              </w:rPr>
              <w:t>Typical Usage</w:t>
            </w:r>
          </w:p>
        </w:tc>
      </w:tr>
      <w:tr w:rsidR="00E5309E" w14:paraId="0151D2BD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CAC68C9" w14:textId="77777777" w:rsidR="00E5309E" w:rsidRDefault="00000000">
            <w:pPr>
              <w:spacing w:before="60" w:after="60"/>
            </w:pPr>
            <w:r>
              <w:rPr>
                <w:sz w:val="18"/>
                <w:szCs w:val="18"/>
              </w:rPr>
              <w:t>4 KPI cards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3CD742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3 + 3 + 3 + 3</w:t>
            </w:r>
          </w:p>
        </w:tc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1B0314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Full-width KPI strip at top of dashboard</w:t>
            </w:r>
          </w:p>
        </w:tc>
      </w:tr>
      <w:tr w:rsidR="00E5309E" w14:paraId="2022354F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B0E402D" w14:textId="77777777" w:rsidR="00E5309E" w:rsidRDefault="00000000">
            <w:pPr>
              <w:spacing w:before="60" w:after="60"/>
            </w:pPr>
            <w:r>
              <w:rPr>
                <w:sz w:val="18"/>
                <w:szCs w:val="18"/>
              </w:rPr>
              <w:t>Main chart + sidebar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C0DBF0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8 + 4</w:t>
            </w:r>
          </w:p>
        </w:tc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C2401B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Hero chart with supplementary donut or table</w:t>
            </w:r>
          </w:p>
        </w:tc>
      </w:tr>
      <w:tr w:rsidR="00E5309E" w14:paraId="1A6AA958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B63E7F2" w14:textId="77777777" w:rsidR="00E5309E" w:rsidRDefault="00000000">
            <w:pPr>
              <w:spacing w:before="60" w:after="60"/>
            </w:pPr>
            <w:r>
              <w:rPr>
                <w:sz w:val="18"/>
                <w:szCs w:val="18"/>
              </w:rPr>
              <w:t>Two equal charts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2C61D5C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6 + 6</w:t>
            </w:r>
          </w:p>
        </w:tc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612239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Side-by-side comparisons, trend + breakdown</w:t>
            </w:r>
          </w:p>
        </w:tc>
      </w:tr>
      <w:tr w:rsidR="00E5309E" w14:paraId="07D61D93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8EF5722" w14:textId="77777777" w:rsidR="00E5309E" w:rsidRDefault="00000000">
            <w:pPr>
              <w:spacing w:before="60" w:after="60"/>
            </w:pPr>
            <w:r>
              <w:rPr>
                <w:sz w:val="18"/>
                <w:szCs w:val="18"/>
              </w:rPr>
              <w:t>Three equal charts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0EE75BD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4 + 4 + 4</w:t>
            </w:r>
          </w:p>
        </w:tc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27AAF4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Same-category comparisons, department views</w:t>
            </w:r>
          </w:p>
        </w:tc>
      </w:tr>
      <w:tr w:rsidR="00E5309E" w14:paraId="5FECB1C2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C393618" w14:textId="77777777" w:rsidR="00E5309E" w:rsidRDefault="00000000">
            <w:pPr>
              <w:spacing w:before="60" w:after="60"/>
            </w:pPr>
            <w:r>
              <w:rPr>
                <w:sz w:val="18"/>
                <w:szCs w:val="18"/>
              </w:rPr>
              <w:t>Full-width chart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9DCF834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12</w:t>
            </w:r>
          </w:p>
        </w:tc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2AD9A7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 xml:space="preserve">Waterfall, wide </w:t>
            </w:r>
            <w:proofErr w:type="gramStart"/>
            <w:r>
              <w:rPr>
                <w:color w:val="7E7E7E"/>
                <w:sz w:val="17"/>
                <w:szCs w:val="17"/>
              </w:rPr>
              <w:t>trend</w:t>
            </w:r>
            <w:proofErr w:type="gramEnd"/>
            <w:r>
              <w:rPr>
                <w:color w:val="7E7E7E"/>
                <w:sz w:val="17"/>
                <w:szCs w:val="17"/>
              </w:rPr>
              <w:t>, map visuals</w:t>
            </w:r>
          </w:p>
        </w:tc>
      </w:tr>
      <w:tr w:rsidR="00E5309E" w14:paraId="0371BB63" w14:textId="77777777"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66C545E" w14:textId="77777777" w:rsidR="00E5309E" w:rsidRDefault="00000000">
            <w:pPr>
              <w:spacing w:before="60" w:after="60"/>
            </w:pPr>
            <w:r>
              <w:rPr>
                <w:sz w:val="18"/>
                <w:szCs w:val="18"/>
              </w:rPr>
              <w:t>5 KPI cards</w:t>
            </w:r>
          </w:p>
        </w:tc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ED5B69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6E3CBE"/>
                <w:sz w:val="17"/>
                <w:szCs w:val="17"/>
              </w:rPr>
              <w:t>2.4 per card</w:t>
            </w:r>
          </w:p>
        </w:tc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D8AD01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Wider KPI strips for 5-metric rows</w:t>
            </w:r>
          </w:p>
        </w:tc>
      </w:tr>
    </w:tbl>
    <w:p w14:paraId="3D2E6509" w14:textId="77777777" w:rsidR="00E5309E" w:rsidRDefault="00E5309E">
      <w:pPr>
        <w:spacing w:before="80" w:after="80"/>
      </w:pPr>
    </w:p>
    <w:p w14:paraId="37E6DA38" w14:textId="77777777" w:rsidR="00E5309E" w:rsidRDefault="00000000">
      <w:pPr>
        <w:pStyle w:val="Heading3"/>
      </w:pPr>
      <w:r>
        <w:t>Spacing Tokens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E5309E" w14:paraId="4943C3CE" w14:textId="77777777">
        <w:tc>
          <w:tcPr>
            <w:tcW w:w="46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60" w:type="dxa"/>
            </w:tcMar>
          </w:tcPr>
          <w:tbl>
            <w:tblPr>
              <w:tblW w:w="9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60"/>
            </w:tblGrid>
            <w:tr w:rsidR="00E5309E" w14:paraId="6FA03561" w14:textId="77777777">
              <w:tc>
                <w:tcPr>
                  <w:tcW w:w="9360" w:type="dxa"/>
                  <w:tcBorders>
                    <w:top w:val="none" w:sz="0" w:space="0" w:color="FFFFFF"/>
                    <w:left w:val="single" w:sz="16" w:space="0" w:color="282828"/>
                    <w:bottom w:val="none" w:sz="0" w:space="0" w:color="FFFFFF"/>
                    <w:right w:val="none" w:sz="0" w:space="0" w:color="FFFFFF"/>
                  </w:tcBorders>
                  <w:shd w:val="clear" w:color="auto" w:fill="FAFAFA"/>
                  <w:tcMar>
                    <w:top w:w="100" w:type="dxa"/>
                    <w:left w:w="160" w:type="dxa"/>
                    <w:bottom w:w="100" w:type="dxa"/>
                    <w:right w:w="120" w:type="dxa"/>
                  </w:tcMar>
                </w:tcPr>
                <w:p w14:paraId="2E4E68EB" w14:textId="77777777" w:rsidR="00E5309E" w:rsidRDefault="00000000">
                  <w:pPr>
                    <w:spacing w:after="40"/>
                  </w:pPr>
                  <w:r>
                    <w:rPr>
                      <w:b/>
                      <w:bCs/>
                    </w:rPr>
                    <w:t>Page Margin</w:t>
                  </w:r>
                </w:p>
                <w:p w14:paraId="111BB94B" w14:textId="77777777" w:rsidR="00E5309E" w:rsidRDefault="00000000">
                  <w:r>
                    <w:rPr>
                      <w:sz w:val="18"/>
                      <w:szCs w:val="18"/>
                    </w:rPr>
                    <w:t>16px on all sides. Consistent across all pages.</w:t>
                  </w:r>
                </w:p>
              </w:tc>
            </w:tr>
          </w:tbl>
          <w:p w14:paraId="702CC0D9" w14:textId="77777777" w:rsidR="00E5309E" w:rsidRDefault="00E5309E">
            <w:pPr>
              <w:spacing w:before="80" w:after="80"/>
            </w:pPr>
          </w:p>
          <w:tbl>
            <w:tblPr>
              <w:tblW w:w="9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60"/>
            </w:tblGrid>
            <w:tr w:rsidR="00E5309E" w14:paraId="7479A7B0" w14:textId="77777777">
              <w:tc>
                <w:tcPr>
                  <w:tcW w:w="9360" w:type="dxa"/>
                  <w:tcBorders>
                    <w:top w:val="none" w:sz="0" w:space="0" w:color="FFFFFF"/>
                    <w:left w:val="single" w:sz="16" w:space="0" w:color="0A9BCD"/>
                    <w:bottom w:val="none" w:sz="0" w:space="0" w:color="FFFFFF"/>
                    <w:right w:val="none" w:sz="0" w:space="0" w:color="FFFFFF"/>
                  </w:tcBorders>
                  <w:shd w:val="clear" w:color="auto" w:fill="FAFAFA"/>
                  <w:tcMar>
                    <w:top w:w="100" w:type="dxa"/>
                    <w:left w:w="160" w:type="dxa"/>
                    <w:bottom w:w="100" w:type="dxa"/>
                    <w:right w:w="120" w:type="dxa"/>
                  </w:tcMar>
                </w:tcPr>
                <w:p w14:paraId="7FEF3359" w14:textId="77777777" w:rsidR="00E5309E" w:rsidRDefault="00000000">
                  <w:pPr>
                    <w:spacing w:after="40"/>
                  </w:pPr>
                  <w:r>
                    <w:rPr>
                      <w:b/>
                      <w:bCs/>
                      <w:color w:val="0A9BCD"/>
                    </w:rPr>
                    <w:t>Visual Gap (horizontal)</w:t>
                  </w:r>
                </w:p>
                <w:p w14:paraId="1691DA8A" w14:textId="77777777" w:rsidR="00E5309E" w:rsidRDefault="00000000">
                  <w:r>
                    <w:rPr>
                      <w:sz w:val="18"/>
                      <w:szCs w:val="18"/>
                    </w:rPr>
                    <w:t>8px between cards in the same row.</w:t>
                  </w:r>
                </w:p>
              </w:tc>
            </w:tr>
          </w:tbl>
          <w:p w14:paraId="7A22F6AE" w14:textId="77777777" w:rsidR="00E5309E" w:rsidRDefault="00E5309E">
            <w:pPr>
              <w:spacing w:before="80" w:after="80"/>
            </w:pPr>
          </w:p>
          <w:tbl>
            <w:tblPr>
              <w:tblW w:w="9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60"/>
            </w:tblGrid>
            <w:tr w:rsidR="00E5309E" w14:paraId="506ABF99" w14:textId="77777777">
              <w:tc>
                <w:tcPr>
                  <w:tcW w:w="9360" w:type="dxa"/>
                  <w:tcBorders>
                    <w:top w:val="none" w:sz="0" w:space="0" w:color="FFFFFF"/>
                    <w:left w:val="single" w:sz="16" w:space="0" w:color="0A9BCD"/>
                    <w:bottom w:val="none" w:sz="0" w:space="0" w:color="FFFFFF"/>
                    <w:right w:val="none" w:sz="0" w:space="0" w:color="FFFFFF"/>
                  </w:tcBorders>
                  <w:shd w:val="clear" w:color="auto" w:fill="FAFAFA"/>
                  <w:tcMar>
                    <w:top w:w="100" w:type="dxa"/>
                    <w:left w:w="160" w:type="dxa"/>
                    <w:bottom w:w="100" w:type="dxa"/>
                    <w:right w:w="120" w:type="dxa"/>
                  </w:tcMar>
                </w:tcPr>
                <w:p w14:paraId="2A5E7935" w14:textId="77777777" w:rsidR="00E5309E" w:rsidRDefault="00000000">
                  <w:pPr>
                    <w:spacing w:after="40"/>
                  </w:pPr>
                  <w:r>
                    <w:rPr>
                      <w:b/>
                      <w:bCs/>
                      <w:color w:val="0A9BCD"/>
                    </w:rPr>
                    <w:t>Visual Gap (vertical)</w:t>
                  </w:r>
                </w:p>
                <w:p w14:paraId="055CB3CF" w14:textId="77777777" w:rsidR="00E5309E" w:rsidRDefault="00000000">
                  <w:r>
                    <w:rPr>
                      <w:sz w:val="18"/>
                      <w:szCs w:val="18"/>
                    </w:rPr>
                    <w:t>12px between rows of visuals.</w:t>
                  </w:r>
                </w:p>
              </w:tc>
            </w:tr>
          </w:tbl>
          <w:p w14:paraId="2A4541A7" w14:textId="77777777" w:rsidR="00E5309E" w:rsidRDefault="00E5309E"/>
        </w:tc>
        <w:tc>
          <w:tcPr>
            <w:tcW w:w="47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60" w:type="dxa"/>
              <w:bottom w:w="0" w:type="dxa"/>
              <w:right w:w="0" w:type="dxa"/>
            </w:tcMar>
          </w:tcPr>
          <w:tbl>
            <w:tblPr>
              <w:tblW w:w="9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60"/>
            </w:tblGrid>
            <w:tr w:rsidR="00E5309E" w14:paraId="38188E91" w14:textId="77777777">
              <w:tc>
                <w:tcPr>
                  <w:tcW w:w="9360" w:type="dxa"/>
                  <w:tcBorders>
                    <w:top w:val="none" w:sz="0" w:space="0" w:color="FFFFFF"/>
                    <w:left w:val="single" w:sz="16" w:space="0" w:color="6E3CBE"/>
                    <w:bottom w:val="none" w:sz="0" w:space="0" w:color="FFFFFF"/>
                    <w:right w:val="none" w:sz="0" w:space="0" w:color="FFFFFF"/>
                  </w:tcBorders>
                  <w:shd w:val="clear" w:color="auto" w:fill="FAFAFA"/>
                  <w:tcMar>
                    <w:top w:w="100" w:type="dxa"/>
                    <w:left w:w="160" w:type="dxa"/>
                    <w:bottom w:w="100" w:type="dxa"/>
                    <w:right w:w="120" w:type="dxa"/>
                  </w:tcMar>
                </w:tcPr>
                <w:p w14:paraId="3DF45AD1" w14:textId="77777777" w:rsidR="00E5309E" w:rsidRDefault="00000000">
                  <w:pPr>
                    <w:spacing w:after="40"/>
                  </w:pPr>
                  <w:r>
                    <w:rPr>
                      <w:b/>
                      <w:bCs/>
                      <w:color w:val="6E3CBE"/>
                    </w:rPr>
                    <w:t>Card Internal Padding</w:t>
                  </w:r>
                </w:p>
                <w:p w14:paraId="624CD1C6" w14:textId="77777777" w:rsidR="00E5309E" w:rsidRDefault="00000000">
                  <w:r>
                    <w:rPr>
                      <w:sz w:val="18"/>
                      <w:szCs w:val="18"/>
                    </w:rPr>
                    <w:t>16px top/bottom, 18px left/right.</w:t>
                  </w:r>
                </w:p>
              </w:tc>
            </w:tr>
          </w:tbl>
          <w:p w14:paraId="21223143" w14:textId="77777777" w:rsidR="00E5309E" w:rsidRDefault="00E5309E">
            <w:pPr>
              <w:spacing w:before="80" w:after="80"/>
            </w:pPr>
          </w:p>
          <w:tbl>
            <w:tblPr>
              <w:tblW w:w="9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60"/>
            </w:tblGrid>
            <w:tr w:rsidR="00E5309E" w14:paraId="10AF626E" w14:textId="77777777">
              <w:tc>
                <w:tcPr>
                  <w:tcW w:w="9360" w:type="dxa"/>
                  <w:tcBorders>
                    <w:top w:val="none" w:sz="0" w:space="0" w:color="FFFFFF"/>
                    <w:left w:val="single" w:sz="16" w:space="0" w:color="6E3CBE"/>
                    <w:bottom w:val="none" w:sz="0" w:space="0" w:color="FFFFFF"/>
                    <w:right w:val="none" w:sz="0" w:space="0" w:color="FFFFFF"/>
                  </w:tcBorders>
                  <w:shd w:val="clear" w:color="auto" w:fill="FAFAFA"/>
                  <w:tcMar>
                    <w:top w:w="100" w:type="dxa"/>
                    <w:left w:w="160" w:type="dxa"/>
                    <w:bottom w:w="100" w:type="dxa"/>
                    <w:right w:w="120" w:type="dxa"/>
                  </w:tcMar>
                </w:tcPr>
                <w:p w14:paraId="37C88FFD" w14:textId="77777777" w:rsidR="00E5309E" w:rsidRDefault="00000000">
                  <w:pPr>
                    <w:spacing w:after="40"/>
                  </w:pPr>
                  <w:r>
                    <w:rPr>
                      <w:b/>
                      <w:bCs/>
                      <w:color w:val="6E3CBE"/>
                    </w:rPr>
                    <w:t>KPI Card Height</w:t>
                  </w:r>
                </w:p>
                <w:p w14:paraId="24489CAD" w14:textId="77777777" w:rsidR="00E5309E" w:rsidRDefault="00000000">
                  <w:r>
                    <w:rPr>
                      <w:sz w:val="18"/>
                      <w:szCs w:val="18"/>
                    </w:rPr>
                    <w:t>100–120px. Fixed height for strip alignment.</w:t>
                  </w:r>
                </w:p>
              </w:tc>
            </w:tr>
          </w:tbl>
          <w:p w14:paraId="335FD7AD" w14:textId="77777777" w:rsidR="00E5309E" w:rsidRDefault="00E5309E">
            <w:pPr>
              <w:spacing w:before="80" w:after="80"/>
            </w:pPr>
          </w:p>
          <w:tbl>
            <w:tblPr>
              <w:tblW w:w="9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60"/>
            </w:tblGrid>
            <w:tr w:rsidR="00E5309E" w14:paraId="665F3163" w14:textId="77777777">
              <w:tc>
                <w:tcPr>
                  <w:tcW w:w="9360" w:type="dxa"/>
                  <w:tcBorders>
                    <w:top w:val="none" w:sz="0" w:space="0" w:color="FFFFFF"/>
                    <w:left w:val="single" w:sz="16" w:space="0" w:color="6E3CBE"/>
                    <w:bottom w:val="none" w:sz="0" w:space="0" w:color="FFFFFF"/>
                    <w:right w:val="none" w:sz="0" w:space="0" w:color="FFFFFF"/>
                  </w:tcBorders>
                  <w:shd w:val="clear" w:color="auto" w:fill="FAFAFA"/>
                  <w:tcMar>
                    <w:top w:w="100" w:type="dxa"/>
                    <w:left w:w="160" w:type="dxa"/>
                    <w:bottom w:w="100" w:type="dxa"/>
                    <w:right w:w="120" w:type="dxa"/>
                  </w:tcMar>
                </w:tcPr>
                <w:p w14:paraId="7EE1C6C9" w14:textId="77777777" w:rsidR="00E5309E" w:rsidRDefault="00000000">
                  <w:pPr>
                    <w:spacing w:after="40"/>
                  </w:pPr>
                  <w:r>
                    <w:rPr>
                      <w:b/>
                      <w:bCs/>
                      <w:color w:val="6E3CBE"/>
                    </w:rPr>
                    <w:t>Chart Visual Min Height</w:t>
                  </w:r>
                </w:p>
                <w:p w14:paraId="3693FD0A" w14:textId="77777777" w:rsidR="00E5309E" w:rsidRDefault="00000000">
                  <w:r>
                    <w:rPr>
                      <w:sz w:val="18"/>
                      <w:szCs w:val="18"/>
                    </w:rPr>
                    <w:t>220px. Prevents label crowding.</w:t>
                  </w:r>
                </w:p>
              </w:tc>
            </w:tr>
          </w:tbl>
          <w:p w14:paraId="6CF68B1D" w14:textId="77777777" w:rsidR="00E5309E" w:rsidRDefault="00E5309E"/>
        </w:tc>
      </w:tr>
    </w:tbl>
    <w:p w14:paraId="47BBA1CF" w14:textId="77777777" w:rsidR="00E5309E" w:rsidRDefault="00E5309E">
      <w:pPr>
        <w:spacing w:before="80" w:after="80"/>
      </w:pPr>
    </w:p>
    <w:p w14:paraId="043B523A" w14:textId="77777777" w:rsidR="00E5309E" w:rsidRDefault="00000000">
      <w:pPr>
        <w:pStyle w:val="Heading3"/>
      </w:pPr>
      <w:r>
        <w:t>Navigation Bar</w:t>
      </w:r>
    </w:p>
    <w:p w14:paraId="72CE2E3E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Horizontal top nav: 40px height, Dark </w:t>
      </w:r>
      <w:proofErr w:type="gramStart"/>
      <w:r>
        <w:t>Grey (#</w:t>
      </w:r>
      <w:proofErr w:type="gramEnd"/>
      <w:r>
        <w:t>282828) background</w:t>
      </w:r>
    </w:p>
    <w:p w14:paraId="6AD1030C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lastRenderedPageBreak/>
        <w:t xml:space="preserve">Active tab indicator: 2px </w:t>
      </w:r>
      <w:proofErr w:type="gramStart"/>
      <w:r>
        <w:t>Purple (#</w:t>
      </w:r>
      <w:proofErr w:type="gramEnd"/>
      <w:r>
        <w:t>6E3CBE) bottom border</w:t>
      </w:r>
    </w:p>
    <w:p w14:paraId="6F6ECD61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>Logo placement: left-aligned within nav, with 20px right separator</w:t>
      </w:r>
    </w:p>
    <w:p w14:paraId="08CA0358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Filter/slicer controls: </w:t>
      </w:r>
      <w:proofErr w:type="gramStart"/>
      <w:r>
        <w:t>right-aligned</w:t>
      </w:r>
      <w:proofErr w:type="gramEnd"/>
      <w:r>
        <w:t xml:space="preserve"> within nav bar or directly below</w:t>
      </w:r>
    </w:p>
    <w:p w14:paraId="48EEF93F" w14:textId="77777777" w:rsidR="00E5309E" w:rsidRDefault="00E5309E">
      <w:pPr>
        <w:spacing w:before="80" w:after="80"/>
      </w:pPr>
    </w:p>
    <w:p w14:paraId="12DCBB28" w14:textId="77777777" w:rsidR="00E5309E" w:rsidRDefault="00E5309E">
      <w:pPr>
        <w:spacing w:before="80" w:after="80"/>
      </w:pPr>
    </w:p>
    <w:p w14:paraId="3904BC22" w14:textId="77777777" w:rsidR="00E5309E" w:rsidRDefault="00E5309E">
      <w:pPr>
        <w:pageBreakBefore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E5309E" w14:paraId="079D5A0B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6E3CBE"/>
            <w:tcMar>
              <w:top w:w="120" w:type="dxa"/>
              <w:left w:w="120" w:type="dxa"/>
              <w:bottom w:w="120" w:type="dxa"/>
              <w:right w:w="80" w:type="dxa"/>
            </w:tcMar>
            <w:vAlign w:val="center"/>
          </w:tcPr>
          <w:p w14:paraId="05B22C96" w14:textId="77777777" w:rsidR="00E5309E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05</w:t>
            </w:r>
          </w:p>
        </w:tc>
        <w:tc>
          <w:tcPr>
            <w:tcW w:w="8760" w:type="dxa"/>
            <w:tcBorders>
              <w:top w:val="none" w:sz="0" w:space="0" w:color="FFFFFF"/>
              <w:left w:val="single" w:sz="2" w:space="0" w:color="6E3CBE"/>
              <w:bottom w:val="none" w:sz="0" w:space="0" w:color="FFFFFF"/>
              <w:right w:val="none" w:sz="0" w:space="0" w:color="FFFFFF"/>
            </w:tcBorders>
            <w:shd w:val="clear" w:color="auto" w:fill="282828"/>
            <w:tcMar>
              <w:top w:w="120" w:type="dxa"/>
              <w:left w:w="200" w:type="dxa"/>
              <w:bottom w:w="120" w:type="dxa"/>
              <w:right w:w="120" w:type="dxa"/>
            </w:tcMar>
          </w:tcPr>
          <w:p w14:paraId="1F652DDE" w14:textId="77777777" w:rsidR="00E5309E" w:rsidRDefault="00000000">
            <w:r>
              <w:rPr>
                <w:b/>
                <w:bCs/>
                <w:color w:val="FFFFFF"/>
                <w:sz w:val="30"/>
                <w:szCs w:val="30"/>
              </w:rPr>
              <w:t>UI Component Standards</w:t>
            </w:r>
          </w:p>
        </w:tc>
      </w:tr>
    </w:tbl>
    <w:p w14:paraId="3A941AE8" w14:textId="77777777" w:rsidR="00E5309E" w:rsidRDefault="00E5309E">
      <w:pPr>
        <w:spacing w:before="80" w:after="80"/>
      </w:pPr>
    </w:p>
    <w:p w14:paraId="5ED917FC" w14:textId="77777777" w:rsidR="00E5309E" w:rsidRDefault="00000000">
      <w:pPr>
        <w:pStyle w:val="Heading3"/>
      </w:pPr>
      <w:r>
        <w:t>Cards &amp; Containers</w:t>
      </w:r>
    </w:p>
    <w:p w14:paraId="497A195B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Background: </w:t>
      </w:r>
      <w:proofErr w:type="gramStart"/>
      <w:r>
        <w:t>White (#</w:t>
      </w:r>
      <w:proofErr w:type="gramEnd"/>
      <w:r>
        <w:t>FFFFFF) for raised cards</w:t>
      </w:r>
    </w:p>
    <w:p w14:paraId="6C2B86BB" w14:textId="4354797D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Border: 1px solid #E0E0E0 (light grey) — never use dark or </w:t>
      </w:r>
      <w:r w:rsidR="00BD68BB">
        <w:t>color</w:t>
      </w:r>
      <w:r>
        <w:t>ed borders on white cards</w:t>
      </w:r>
    </w:p>
    <w:p w14:paraId="5CDCA97F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>Border radius: 6–8px for standard cards; 10–12px for large feature cards</w:t>
      </w:r>
    </w:p>
    <w:p w14:paraId="185F46D4" w14:textId="4A33789F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Top accent stripe: 3px </w:t>
      </w:r>
      <w:r w:rsidR="00BD68BB">
        <w:t>color</w:t>
      </w:r>
      <w:r>
        <w:t xml:space="preserve">ed bar at card top — matches semantic </w:t>
      </w:r>
      <w:r w:rsidR="00BD68BB">
        <w:t>color</w:t>
      </w:r>
      <w:r>
        <w:t xml:space="preserve"> of content</w:t>
      </w:r>
    </w:p>
    <w:p w14:paraId="1A2CF6C1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>No box shadows in Power BI native — use border-only approach</w:t>
      </w:r>
    </w:p>
    <w:p w14:paraId="4A030562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In HTML mockups, subtle shadow optional: 0 1px 4px </w:t>
      </w:r>
      <w:proofErr w:type="spellStart"/>
      <w:proofErr w:type="gramStart"/>
      <w:r>
        <w:t>rgba</w:t>
      </w:r>
      <w:proofErr w:type="spellEnd"/>
      <w:r>
        <w:t>(</w:t>
      </w:r>
      <w:proofErr w:type="gramEnd"/>
      <w:r>
        <w:t>0,0,0,0.08)</w:t>
      </w:r>
    </w:p>
    <w:p w14:paraId="70F24E13" w14:textId="77777777" w:rsidR="00E5309E" w:rsidRDefault="00E5309E">
      <w:pPr>
        <w:spacing w:before="80" w:after="80"/>
      </w:pPr>
    </w:p>
    <w:p w14:paraId="1AAA2810" w14:textId="77777777" w:rsidR="00E5309E" w:rsidRDefault="00000000">
      <w:pPr>
        <w:pStyle w:val="Heading3"/>
      </w:pPr>
      <w:r>
        <w:t>KPI Cards</w:t>
      </w:r>
    </w:p>
    <w:p w14:paraId="0CCFBCB7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Label: 10pt, </w:t>
      </w:r>
      <w:proofErr w:type="gramStart"/>
      <w:r>
        <w:t>uppercase, #</w:t>
      </w:r>
      <w:proofErr w:type="gramEnd"/>
      <w:r>
        <w:t xml:space="preserve">7E7E7E, 0.06em </w:t>
      </w:r>
      <w:proofErr w:type="gramStart"/>
      <w:r>
        <w:t>letter-spacing</w:t>
      </w:r>
      <w:proofErr w:type="gramEnd"/>
    </w:p>
    <w:p w14:paraId="18877639" w14:textId="318DC8FC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Value: 24–36pt bold, semantic </w:t>
      </w:r>
      <w:r w:rsidR="00BD68BB">
        <w:t>color</w:t>
      </w:r>
      <w:r>
        <w:t xml:space="preserve"> (usually Purple)</w:t>
      </w:r>
    </w:p>
    <w:p w14:paraId="1FCF35F6" w14:textId="486B6AD1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Delta indicator: 11pt, includes arrow symbol (▲ or ▼), semantic </w:t>
      </w:r>
      <w:r w:rsidR="00BD68BB">
        <w:t>color</w:t>
      </w:r>
    </w:p>
    <w:p w14:paraId="6B55DC41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>Sparkline (optional): full-width mini bar chart at card bottom</w:t>
      </w:r>
    </w:p>
    <w:p w14:paraId="57EFAB2A" w14:textId="46475FDC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Progress bar (optional): 5–6px height, semantic fill </w:t>
      </w:r>
      <w:r w:rsidR="00BD68BB">
        <w:t>color</w:t>
      </w:r>
    </w:p>
    <w:p w14:paraId="20864659" w14:textId="4F51555D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Always include 3px </w:t>
      </w:r>
      <w:r w:rsidR="00BD68BB">
        <w:t>color</w:t>
      </w:r>
      <w:r>
        <w:t xml:space="preserve">ed top stripe matching the KPI </w:t>
      </w:r>
      <w:r w:rsidR="00BD68BB">
        <w:t>color</w:t>
      </w:r>
    </w:p>
    <w:p w14:paraId="5A4580DF" w14:textId="77777777" w:rsidR="00E5309E" w:rsidRDefault="00E5309E">
      <w:pPr>
        <w:spacing w:before="80" w:after="80"/>
      </w:pPr>
    </w:p>
    <w:p w14:paraId="376DE239" w14:textId="77777777" w:rsidR="00E5309E" w:rsidRDefault="00000000">
      <w:pPr>
        <w:pStyle w:val="Heading3"/>
      </w:pPr>
      <w:r>
        <w:t>Slicers &amp; Filters</w:t>
      </w:r>
    </w:p>
    <w:p w14:paraId="0D8C7E2D" w14:textId="37A41E71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Header label: Segoe UI Bold, 11pt, </w:t>
      </w:r>
      <w:r w:rsidR="00BB0CFE">
        <w:t>Test Company</w:t>
      </w:r>
      <w:r>
        <w:t xml:space="preserve"> </w:t>
      </w:r>
      <w:proofErr w:type="gramStart"/>
      <w:r>
        <w:t>Purple (#</w:t>
      </w:r>
      <w:proofErr w:type="gramEnd"/>
      <w:r>
        <w:t>6E3CBE)</w:t>
      </w:r>
    </w:p>
    <w:p w14:paraId="61D1332D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>Dropdown style preferred over tiles for space efficiency</w:t>
      </w:r>
    </w:p>
    <w:p w14:paraId="31A53358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>Active/selected state: Purple fill with white text</w:t>
      </w:r>
    </w:p>
    <w:p w14:paraId="29AF8353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>Inactive state: Light Grey background, Dark Grey text</w:t>
      </w:r>
    </w:p>
    <w:p w14:paraId="4D4DBE26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>Border: 1px solid #DDDDDD; active border: 1px solid Purple</w:t>
      </w:r>
    </w:p>
    <w:p w14:paraId="3A849E15" w14:textId="77777777" w:rsidR="00E5309E" w:rsidRDefault="00E5309E">
      <w:pPr>
        <w:spacing w:before="80" w:after="80"/>
      </w:pPr>
    </w:p>
    <w:p w14:paraId="0CB16326" w14:textId="77777777" w:rsidR="00E5309E" w:rsidRDefault="00000000">
      <w:pPr>
        <w:pStyle w:val="Heading3"/>
      </w:pPr>
      <w:r>
        <w:t>Navigation Tabs</w:t>
      </w:r>
    </w:p>
    <w:p w14:paraId="0C356247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Background: Dark </w:t>
      </w:r>
      <w:proofErr w:type="gramStart"/>
      <w:r>
        <w:t>Grey (#</w:t>
      </w:r>
      <w:proofErr w:type="gramEnd"/>
      <w:r>
        <w:t>282828)</w:t>
      </w:r>
    </w:p>
    <w:p w14:paraId="7707FD7B" w14:textId="2AA6158F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Inactive link </w:t>
      </w:r>
      <w:proofErr w:type="gramStart"/>
      <w:r w:rsidR="00BD68BB">
        <w:t>color</w:t>
      </w:r>
      <w:r>
        <w:t>: #</w:t>
      </w:r>
      <w:proofErr w:type="gramEnd"/>
      <w:r>
        <w:t>888888</w:t>
      </w:r>
    </w:p>
    <w:p w14:paraId="089440A9" w14:textId="4ED4844D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Active link </w:t>
      </w:r>
      <w:proofErr w:type="gramStart"/>
      <w:r w:rsidR="00BD68BB">
        <w:t>color</w:t>
      </w:r>
      <w:r>
        <w:t>: #</w:t>
      </w:r>
      <w:proofErr w:type="gramEnd"/>
      <w:r>
        <w:t>FFFFFF with 2px Purple bottom underline</w:t>
      </w:r>
    </w:p>
    <w:p w14:paraId="3A81594E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>Tab height: 40px minimum for touch accessibility</w:t>
      </w:r>
    </w:p>
    <w:p w14:paraId="0F4BCADF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>Font: Segoe UI 11pt regular</w:t>
      </w:r>
    </w:p>
    <w:p w14:paraId="69B29611" w14:textId="77777777" w:rsidR="00E5309E" w:rsidRDefault="00E5309E">
      <w:pPr>
        <w:spacing w:before="80" w:after="80"/>
      </w:pPr>
    </w:p>
    <w:p w14:paraId="0333E7D7" w14:textId="77777777" w:rsidR="00E5309E" w:rsidRDefault="00000000">
      <w:pPr>
        <w:pStyle w:val="Heading3"/>
      </w:pPr>
      <w:r>
        <w:t>Data Tables</w:t>
      </w:r>
    </w:p>
    <w:p w14:paraId="7951D887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Header row: Dark </w:t>
      </w:r>
      <w:proofErr w:type="gramStart"/>
      <w:r>
        <w:t>Grey (#</w:t>
      </w:r>
      <w:proofErr w:type="gramEnd"/>
      <w:r>
        <w:t xml:space="preserve">282828) background, </w:t>
      </w:r>
      <w:proofErr w:type="gramStart"/>
      <w:r>
        <w:t>White (#</w:t>
      </w:r>
      <w:proofErr w:type="gramEnd"/>
      <w:r>
        <w:t>FFFFFF) text, Bold 11pt</w:t>
      </w:r>
    </w:p>
    <w:p w14:paraId="53ECA071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Body rows: </w:t>
      </w:r>
      <w:proofErr w:type="gramStart"/>
      <w:r>
        <w:t>White (#</w:t>
      </w:r>
      <w:proofErr w:type="gramEnd"/>
      <w:r>
        <w:t>FFFFFF), alternating with #F7F7F7</w:t>
      </w:r>
    </w:p>
    <w:p w14:paraId="37D3E119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>Row height: minimum 32px for readability</w:t>
      </w:r>
    </w:p>
    <w:p w14:paraId="566F51F3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>Cell padding: 7px vertical, 8px horizontal</w:t>
      </w:r>
    </w:p>
    <w:p w14:paraId="07A7B744" w14:textId="1C4AB728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lastRenderedPageBreak/>
        <w:t xml:space="preserve">Positive values: </w:t>
      </w:r>
      <w:r w:rsidR="00BB0CFE">
        <w:t>Test Company</w:t>
      </w:r>
      <w:r>
        <w:t xml:space="preserve"> Green </w:t>
      </w:r>
      <w:proofErr w:type="gramStart"/>
      <w:r>
        <w:t>text (#</w:t>
      </w:r>
      <w:proofErr w:type="gramEnd"/>
      <w:r>
        <w:t>00B176)</w:t>
      </w:r>
    </w:p>
    <w:p w14:paraId="482E52F7" w14:textId="24F37EC1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Negative values: </w:t>
      </w:r>
      <w:r w:rsidR="00BB0CFE">
        <w:t>Test Company</w:t>
      </w:r>
      <w:r>
        <w:t xml:space="preserve"> Orange </w:t>
      </w:r>
      <w:proofErr w:type="gramStart"/>
      <w:r>
        <w:t>text (#</w:t>
      </w:r>
      <w:proofErr w:type="gramEnd"/>
      <w:r>
        <w:t>F06400)</w:t>
      </w:r>
    </w:p>
    <w:p w14:paraId="3431AE77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Hover </w:t>
      </w:r>
      <w:proofErr w:type="gramStart"/>
      <w:r>
        <w:t>state: #</w:t>
      </w:r>
      <w:proofErr w:type="gramEnd"/>
      <w:r>
        <w:t>FAFAFA background</w:t>
      </w:r>
    </w:p>
    <w:p w14:paraId="70FED1CF" w14:textId="77777777" w:rsidR="00E5309E" w:rsidRDefault="00E5309E">
      <w:pPr>
        <w:spacing w:before="80" w:after="80"/>
      </w:pPr>
    </w:p>
    <w:p w14:paraId="7AC3F672" w14:textId="77777777" w:rsidR="00E5309E" w:rsidRDefault="00000000">
      <w:pPr>
        <w:pStyle w:val="Heading3"/>
      </w:pPr>
      <w:r>
        <w:t>Badges &amp; Pills</w:t>
      </w:r>
    </w:p>
    <w:p w14:paraId="4AD2642E" w14:textId="579C5D26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Background: 15% opacity fill of semantic </w:t>
      </w:r>
      <w:r w:rsidR="00BD68BB">
        <w:t>color</w:t>
      </w:r>
    </w:p>
    <w:p w14:paraId="045A20CA" w14:textId="4F598AF5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Text: 100% opacity text in matching semantic </w:t>
      </w:r>
      <w:r w:rsidR="00BD68BB">
        <w:t>color</w:t>
      </w:r>
      <w:r>
        <w:t xml:space="preserve"> (or dark equivalent)</w:t>
      </w:r>
    </w:p>
    <w:p w14:paraId="10A8A453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>Border radius: 3–4px for badges, 20px for rounded pills</w:t>
      </w:r>
    </w:p>
    <w:p w14:paraId="30B4CDCF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>Font: Segoe UI Bold, 9–10pt</w:t>
      </w:r>
    </w:p>
    <w:p w14:paraId="234846E2" w14:textId="36701220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Never use full-opacity semantic </w:t>
      </w:r>
      <w:r w:rsidR="00BD68BB">
        <w:t>color</w:t>
      </w:r>
      <w:r>
        <w:t>s as badge backgrounds (too dominant)</w:t>
      </w:r>
    </w:p>
    <w:p w14:paraId="26D406EC" w14:textId="77777777" w:rsidR="00E5309E" w:rsidRDefault="00E5309E">
      <w:pPr>
        <w:spacing w:before="80" w:after="80"/>
      </w:pPr>
    </w:p>
    <w:p w14:paraId="2F1A55C4" w14:textId="77777777" w:rsidR="00E5309E" w:rsidRDefault="00E5309E">
      <w:pPr>
        <w:spacing w:before="80" w:after="80"/>
      </w:pPr>
    </w:p>
    <w:p w14:paraId="2059055D" w14:textId="77777777" w:rsidR="00E5309E" w:rsidRDefault="00E5309E">
      <w:pPr>
        <w:pageBreakBefore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E5309E" w14:paraId="010DDDDB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6E3CBE"/>
            <w:tcMar>
              <w:top w:w="120" w:type="dxa"/>
              <w:left w:w="120" w:type="dxa"/>
              <w:bottom w:w="120" w:type="dxa"/>
              <w:right w:w="80" w:type="dxa"/>
            </w:tcMar>
            <w:vAlign w:val="center"/>
          </w:tcPr>
          <w:p w14:paraId="122F8D5D" w14:textId="77777777" w:rsidR="00E5309E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06</w:t>
            </w:r>
          </w:p>
        </w:tc>
        <w:tc>
          <w:tcPr>
            <w:tcW w:w="8760" w:type="dxa"/>
            <w:tcBorders>
              <w:top w:val="none" w:sz="0" w:space="0" w:color="FFFFFF"/>
              <w:left w:val="single" w:sz="2" w:space="0" w:color="6E3CBE"/>
              <w:bottom w:val="none" w:sz="0" w:space="0" w:color="FFFFFF"/>
              <w:right w:val="none" w:sz="0" w:space="0" w:color="FFFFFF"/>
            </w:tcBorders>
            <w:shd w:val="clear" w:color="auto" w:fill="282828"/>
            <w:tcMar>
              <w:top w:w="120" w:type="dxa"/>
              <w:left w:w="200" w:type="dxa"/>
              <w:bottom w:w="120" w:type="dxa"/>
              <w:right w:w="120" w:type="dxa"/>
            </w:tcMar>
          </w:tcPr>
          <w:p w14:paraId="454EF4B0" w14:textId="77777777" w:rsidR="00E5309E" w:rsidRDefault="00000000">
            <w:r>
              <w:rPr>
                <w:b/>
                <w:bCs/>
                <w:color w:val="FFFFFF"/>
                <w:sz w:val="30"/>
                <w:szCs w:val="30"/>
              </w:rPr>
              <w:t>Chart &amp; Graph Standards</w:t>
            </w:r>
          </w:p>
        </w:tc>
      </w:tr>
    </w:tbl>
    <w:p w14:paraId="0C04CCD7" w14:textId="77777777" w:rsidR="00E5309E" w:rsidRDefault="00E5309E">
      <w:pPr>
        <w:spacing w:before="80" w:after="80"/>
      </w:pPr>
    </w:p>
    <w:p w14:paraId="2F330303" w14:textId="77777777" w:rsidR="00E5309E" w:rsidRDefault="00000000">
      <w:pPr>
        <w:pStyle w:val="Heading3"/>
      </w:pPr>
      <w:r>
        <w:t>Chart Type Selection Guide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2500"/>
        <w:gridCol w:w="4860"/>
      </w:tblGrid>
      <w:tr w:rsidR="00E5309E" w14:paraId="0C17C807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82828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53076431" w14:textId="77777777" w:rsidR="00E5309E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7"/>
                <w:szCs w:val="17"/>
              </w:rPr>
              <w:t>Chart Type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8282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9B82AE" w14:textId="77777777" w:rsidR="00E5309E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7"/>
                <w:szCs w:val="17"/>
              </w:rPr>
              <w:t>Best For</w:t>
            </w:r>
          </w:p>
        </w:tc>
        <w:tc>
          <w:tcPr>
            <w:tcW w:w="4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8282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12B52" w14:textId="7384F2E3" w:rsidR="00E5309E" w:rsidRDefault="00BD68BB">
            <w:pPr>
              <w:spacing w:before="60" w:after="60"/>
            </w:pPr>
            <w:r>
              <w:rPr>
                <w:b/>
                <w:bCs/>
                <w:color w:val="FFFFFF"/>
                <w:sz w:val="17"/>
                <w:szCs w:val="17"/>
              </w:rPr>
              <w:t>Color Application</w:t>
            </w:r>
          </w:p>
        </w:tc>
      </w:tr>
      <w:tr w:rsidR="00E5309E" w14:paraId="28E58DB5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76162DA" w14:textId="77777777" w:rsidR="00E5309E" w:rsidRDefault="00000000">
            <w:pPr>
              <w:spacing w:before="60" w:after="60"/>
            </w:pPr>
            <w:r>
              <w:rPr>
                <w:b/>
                <w:bCs/>
                <w:sz w:val="18"/>
                <w:szCs w:val="18"/>
              </w:rPr>
              <w:t>Clustered Bar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1A026A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Comparison between categories</w:t>
            </w:r>
          </w:p>
        </w:tc>
        <w:tc>
          <w:tcPr>
            <w:tcW w:w="48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DB5F59" w14:textId="77777777" w:rsidR="00E5309E" w:rsidRDefault="00000000">
            <w:pPr>
              <w:spacing w:before="60" w:after="60"/>
            </w:pPr>
            <w:r>
              <w:rPr>
                <w:sz w:val="17"/>
                <w:szCs w:val="17"/>
              </w:rPr>
              <w:t>Purple (current), Mid Grey (prior year), up to 3 series</w:t>
            </w:r>
          </w:p>
        </w:tc>
      </w:tr>
      <w:tr w:rsidR="00E5309E" w14:paraId="184DA520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97A3153" w14:textId="77777777" w:rsidR="00E5309E" w:rsidRDefault="00000000">
            <w:pPr>
              <w:spacing w:before="60" w:after="60"/>
            </w:pPr>
            <w:r>
              <w:rPr>
                <w:b/>
                <w:bCs/>
                <w:sz w:val="18"/>
                <w:szCs w:val="18"/>
              </w:rPr>
              <w:t>Horizontal Bar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C2E517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Ranking, agent/dept performance</w:t>
            </w:r>
          </w:p>
        </w:tc>
        <w:tc>
          <w:tcPr>
            <w:tcW w:w="48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DB7613" w14:textId="7470E663" w:rsidR="00E5309E" w:rsidRDefault="00000000">
            <w:pPr>
              <w:spacing w:before="60" w:after="60"/>
            </w:pPr>
            <w:r>
              <w:rPr>
                <w:sz w:val="17"/>
                <w:szCs w:val="17"/>
              </w:rPr>
              <w:t xml:space="preserve">Single </w:t>
            </w:r>
            <w:r w:rsidR="00BD68BB">
              <w:rPr>
                <w:sz w:val="17"/>
                <w:szCs w:val="17"/>
              </w:rPr>
              <w:t>color</w:t>
            </w:r>
            <w:r>
              <w:rPr>
                <w:sz w:val="17"/>
                <w:szCs w:val="17"/>
              </w:rPr>
              <w:t xml:space="preserve"> with alpha tints for depth</w:t>
            </w:r>
          </w:p>
        </w:tc>
      </w:tr>
      <w:tr w:rsidR="00E5309E" w14:paraId="7E8BA00D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5C47784" w14:textId="77777777" w:rsidR="00E5309E" w:rsidRDefault="00000000">
            <w:pPr>
              <w:spacing w:before="60" w:after="60"/>
            </w:pPr>
            <w:r>
              <w:rPr>
                <w:b/>
                <w:bCs/>
                <w:sz w:val="18"/>
                <w:szCs w:val="18"/>
              </w:rPr>
              <w:t>Line Chart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29FA51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 xml:space="preserve">Trend </w:t>
            </w:r>
            <w:proofErr w:type="gramStart"/>
            <w:r>
              <w:rPr>
                <w:color w:val="7E7E7E"/>
                <w:sz w:val="17"/>
                <w:szCs w:val="17"/>
              </w:rPr>
              <w:t>over time</w:t>
            </w:r>
            <w:proofErr w:type="gramEnd"/>
            <w:r>
              <w:rPr>
                <w:color w:val="7E7E7E"/>
                <w:sz w:val="17"/>
                <w:szCs w:val="17"/>
              </w:rPr>
              <w:t>, forecasting</w:t>
            </w:r>
          </w:p>
        </w:tc>
        <w:tc>
          <w:tcPr>
            <w:tcW w:w="48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74B68A" w14:textId="77777777" w:rsidR="00E5309E" w:rsidRDefault="00000000">
            <w:pPr>
              <w:spacing w:before="60" w:after="60"/>
            </w:pPr>
            <w:r>
              <w:rPr>
                <w:sz w:val="17"/>
                <w:szCs w:val="17"/>
              </w:rPr>
              <w:t>Solid line (actuals), dashed (forecast), Purple + Grey</w:t>
            </w:r>
          </w:p>
        </w:tc>
      </w:tr>
      <w:tr w:rsidR="00E5309E" w14:paraId="1661F1E0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D87FD58" w14:textId="77777777" w:rsidR="00E5309E" w:rsidRDefault="00000000">
            <w:pPr>
              <w:spacing w:before="60" w:after="60"/>
            </w:pPr>
            <w:r>
              <w:rPr>
                <w:b/>
                <w:bCs/>
                <w:sz w:val="18"/>
                <w:szCs w:val="18"/>
              </w:rPr>
              <w:t>Area Chart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0F0516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Volume trends, filled trend lines</w:t>
            </w:r>
          </w:p>
        </w:tc>
        <w:tc>
          <w:tcPr>
            <w:tcW w:w="48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C432150" w14:textId="77777777" w:rsidR="00E5309E" w:rsidRDefault="00000000">
            <w:pPr>
              <w:spacing w:before="60" w:after="60"/>
            </w:pPr>
            <w:r>
              <w:rPr>
                <w:sz w:val="17"/>
                <w:szCs w:val="17"/>
              </w:rPr>
              <w:t xml:space="preserve">Purple fill at 10–15% opacity, solid </w:t>
            </w:r>
            <w:proofErr w:type="gramStart"/>
            <w:r>
              <w:rPr>
                <w:sz w:val="17"/>
                <w:szCs w:val="17"/>
              </w:rPr>
              <w:t>Purple</w:t>
            </w:r>
            <w:proofErr w:type="gramEnd"/>
            <w:r>
              <w:rPr>
                <w:sz w:val="17"/>
                <w:szCs w:val="17"/>
              </w:rPr>
              <w:t xml:space="preserve"> line</w:t>
            </w:r>
          </w:p>
        </w:tc>
      </w:tr>
      <w:tr w:rsidR="00E5309E" w14:paraId="3624C2E3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688E2DC" w14:textId="77777777" w:rsidR="00E5309E" w:rsidRDefault="00000000">
            <w:pPr>
              <w:spacing w:before="60" w:after="60"/>
            </w:pPr>
            <w:r>
              <w:rPr>
                <w:b/>
                <w:bCs/>
                <w:sz w:val="18"/>
                <w:szCs w:val="18"/>
              </w:rPr>
              <w:t>Donut / Pie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C73EC83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Part-to-whole composition</w:t>
            </w:r>
          </w:p>
        </w:tc>
        <w:tc>
          <w:tcPr>
            <w:tcW w:w="48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452838" w14:textId="77777777" w:rsidR="00E5309E" w:rsidRDefault="00000000">
            <w:pPr>
              <w:spacing w:before="60" w:after="60"/>
            </w:pPr>
            <w:r>
              <w:rPr>
                <w:sz w:val="17"/>
                <w:szCs w:val="17"/>
              </w:rPr>
              <w:t>Full secondary palette, max 5 segments</w:t>
            </w:r>
          </w:p>
        </w:tc>
      </w:tr>
      <w:tr w:rsidR="00E5309E" w14:paraId="41D1FFD5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B555070" w14:textId="77777777" w:rsidR="00E5309E" w:rsidRDefault="00000000">
            <w:pPr>
              <w:spacing w:before="60" w:after="60"/>
            </w:pPr>
            <w:r>
              <w:rPr>
                <w:b/>
                <w:bCs/>
                <w:sz w:val="18"/>
                <w:szCs w:val="18"/>
              </w:rPr>
              <w:t>Waterfall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FBA796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Variance, budget bridge</w:t>
            </w:r>
          </w:p>
        </w:tc>
        <w:tc>
          <w:tcPr>
            <w:tcW w:w="48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590999" w14:textId="77777777" w:rsidR="00E5309E" w:rsidRDefault="00000000">
            <w:pPr>
              <w:spacing w:before="60" w:after="60"/>
            </w:pPr>
            <w:r>
              <w:rPr>
                <w:sz w:val="17"/>
                <w:szCs w:val="17"/>
              </w:rPr>
              <w:t>Green (positive), Orange (negative), Dark Grey (total)</w:t>
            </w:r>
          </w:p>
        </w:tc>
      </w:tr>
      <w:tr w:rsidR="00E5309E" w14:paraId="69C290E0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05072A2" w14:textId="77777777" w:rsidR="00E5309E" w:rsidRDefault="00000000">
            <w:pPr>
              <w:spacing w:before="60" w:after="60"/>
            </w:pPr>
            <w:r>
              <w:rPr>
                <w:b/>
                <w:bCs/>
                <w:sz w:val="18"/>
                <w:szCs w:val="18"/>
              </w:rPr>
              <w:t>Funnel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94A8C0B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Stage conversion, pipeline</w:t>
            </w:r>
          </w:p>
        </w:tc>
        <w:tc>
          <w:tcPr>
            <w:tcW w:w="48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BEB37A5" w14:textId="77777777" w:rsidR="00E5309E" w:rsidRDefault="00000000">
            <w:pPr>
              <w:spacing w:before="60" w:after="60"/>
            </w:pPr>
            <w:r>
              <w:rPr>
                <w:sz w:val="17"/>
                <w:szCs w:val="17"/>
              </w:rPr>
              <w:t>Sequential Purple tints from dark to light</w:t>
            </w:r>
          </w:p>
        </w:tc>
      </w:tr>
      <w:tr w:rsidR="00E5309E" w14:paraId="7634E64F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83CDCB4" w14:textId="77777777" w:rsidR="00E5309E" w:rsidRDefault="00000000">
            <w:pPr>
              <w:spacing w:before="60" w:after="60"/>
            </w:pPr>
            <w:r>
              <w:rPr>
                <w:b/>
                <w:bCs/>
                <w:sz w:val="18"/>
                <w:szCs w:val="18"/>
              </w:rPr>
              <w:t>Gauge / Radial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1EBE4D9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Single KPI vs target</w:t>
            </w:r>
          </w:p>
        </w:tc>
        <w:tc>
          <w:tcPr>
            <w:tcW w:w="48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B70B2F" w14:textId="76105B3F" w:rsidR="00E5309E" w:rsidRDefault="00000000">
            <w:pPr>
              <w:spacing w:before="60" w:after="60"/>
            </w:pPr>
            <w:r>
              <w:rPr>
                <w:sz w:val="17"/>
                <w:szCs w:val="17"/>
              </w:rPr>
              <w:t xml:space="preserve">Semantic </w:t>
            </w:r>
            <w:r w:rsidR="00BD68BB">
              <w:rPr>
                <w:sz w:val="17"/>
                <w:szCs w:val="17"/>
              </w:rPr>
              <w:t>color</w:t>
            </w:r>
            <w:r>
              <w:rPr>
                <w:sz w:val="17"/>
                <w:szCs w:val="17"/>
              </w:rPr>
              <w:t xml:space="preserve"> based on performance vs target</w:t>
            </w:r>
          </w:p>
        </w:tc>
      </w:tr>
      <w:tr w:rsidR="00E5309E" w14:paraId="025B0AB0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6746C8B" w14:textId="77777777" w:rsidR="00E5309E" w:rsidRDefault="00000000">
            <w:pPr>
              <w:spacing w:before="60" w:after="60"/>
            </w:pPr>
            <w:r>
              <w:rPr>
                <w:b/>
                <w:bCs/>
                <w:sz w:val="18"/>
                <w:szCs w:val="18"/>
              </w:rPr>
              <w:t>Heatmap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74F67A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Matrix data, time patterns</w:t>
            </w:r>
          </w:p>
        </w:tc>
        <w:tc>
          <w:tcPr>
            <w:tcW w:w="48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2061F6" w14:textId="6E85CC3F" w:rsidR="00E5309E" w:rsidRDefault="00000000">
            <w:pPr>
              <w:spacing w:before="60" w:after="60"/>
            </w:pPr>
            <w:r>
              <w:rPr>
                <w:sz w:val="17"/>
                <w:szCs w:val="17"/>
              </w:rPr>
              <w:t>Single-</w:t>
            </w:r>
            <w:r w:rsidR="00BD68BB">
              <w:rPr>
                <w:sz w:val="17"/>
                <w:szCs w:val="17"/>
              </w:rPr>
              <w:t>color</w:t>
            </w:r>
            <w:r>
              <w:rPr>
                <w:sz w:val="17"/>
                <w:szCs w:val="17"/>
              </w:rPr>
              <w:t xml:space="preserve"> sequential tints, low-to-high</w:t>
            </w:r>
          </w:p>
        </w:tc>
      </w:tr>
      <w:tr w:rsidR="00E5309E" w14:paraId="09350C0A" w14:textId="77777777"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9B5C033" w14:textId="77777777" w:rsidR="00E5309E" w:rsidRDefault="00000000">
            <w:pPr>
              <w:spacing w:before="60" w:after="60"/>
            </w:pPr>
            <w:r>
              <w:rPr>
                <w:b/>
                <w:bCs/>
                <w:sz w:val="18"/>
                <w:szCs w:val="18"/>
              </w:rPr>
              <w:t>Scatter / Bubble</w:t>
            </w:r>
          </w:p>
        </w:tc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C9B628F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Correlation, multi-dimension</w:t>
            </w:r>
          </w:p>
        </w:tc>
        <w:tc>
          <w:tcPr>
            <w:tcW w:w="48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020E670" w14:textId="77777777" w:rsidR="00E5309E" w:rsidRDefault="00000000">
            <w:pPr>
              <w:spacing w:before="60" w:after="60"/>
            </w:pPr>
            <w:r>
              <w:rPr>
                <w:sz w:val="17"/>
                <w:szCs w:val="17"/>
              </w:rPr>
              <w:t>Full palette; bubble size = third variable</w:t>
            </w:r>
          </w:p>
        </w:tc>
      </w:tr>
    </w:tbl>
    <w:p w14:paraId="531B9BB2" w14:textId="77777777" w:rsidR="00E5309E" w:rsidRDefault="00E5309E">
      <w:pPr>
        <w:spacing w:before="80" w:after="80"/>
      </w:pPr>
    </w:p>
    <w:p w14:paraId="6530EF7E" w14:textId="5D12D0F9" w:rsidR="00E5309E" w:rsidRDefault="00000000">
      <w:pPr>
        <w:pStyle w:val="Heading3"/>
      </w:pPr>
      <w:r>
        <w:t xml:space="preserve">Multi-Series </w:t>
      </w:r>
      <w:r w:rsidR="00BD68BB">
        <w:t>Color</w:t>
      </w:r>
      <w:r>
        <w:t xml:space="preserve"> Sequence</w:t>
      </w:r>
    </w:p>
    <w:p w14:paraId="21609EA6" w14:textId="063124F0" w:rsidR="00E5309E" w:rsidRDefault="00000000">
      <w:pPr>
        <w:spacing w:before="60" w:after="60"/>
      </w:pPr>
      <w:r>
        <w:t xml:space="preserve">When multiple data series are required, apply </w:t>
      </w:r>
      <w:r w:rsidR="00BD68BB">
        <w:t>color</w:t>
      </w:r>
      <w:r>
        <w:t>s in this exact order:</w:t>
      </w:r>
    </w:p>
    <w:p w14:paraId="12B31309" w14:textId="77777777" w:rsidR="00E5309E" w:rsidRDefault="00E5309E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800"/>
        <w:gridCol w:w="1600"/>
        <w:gridCol w:w="800"/>
        <w:gridCol w:w="5660"/>
      </w:tblGrid>
      <w:tr w:rsidR="00E5309E" w14:paraId="1C118150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82828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EDF3BE" w14:textId="77777777" w:rsidR="00E5309E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7"/>
                <w:szCs w:val="17"/>
              </w:rPr>
              <w:t>#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82828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ACB810" w14:textId="77777777" w:rsidR="00E5309E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7"/>
                <w:szCs w:val="17"/>
              </w:rPr>
              <w:t>Swatch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82828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1E1DF0FE" w14:textId="196C3E8C" w:rsidR="00E5309E" w:rsidRDefault="00BD68BB">
            <w:pPr>
              <w:spacing w:before="60" w:after="60"/>
            </w:pPr>
            <w:r>
              <w:rPr>
                <w:b/>
                <w:bCs/>
                <w:color w:val="FFFFFF"/>
                <w:sz w:val="17"/>
                <w:szCs w:val="17"/>
              </w:rPr>
              <w:t>Color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82828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B2F612" w14:textId="77777777" w:rsidR="00E5309E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7"/>
                <w:szCs w:val="17"/>
              </w:rPr>
              <w:t>Hex</w:t>
            </w:r>
          </w:p>
        </w:tc>
        <w:tc>
          <w:tcPr>
            <w:tcW w:w="56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82828"/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5596FA69" w14:textId="77777777" w:rsidR="00E5309E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7"/>
                <w:szCs w:val="17"/>
              </w:rPr>
              <w:t>Notes</w:t>
            </w:r>
          </w:p>
        </w:tc>
      </w:tr>
      <w:tr w:rsidR="00E5309E" w14:paraId="6554A40F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9A9481" w14:textId="77777777" w:rsidR="00E5309E" w:rsidRDefault="00000000">
            <w:pPr>
              <w:jc w:val="center"/>
            </w:pPr>
            <w:r>
              <w:rPr>
                <w:b/>
                <w:bCs/>
                <w:color w:val="6E3CBE"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shd w:val="clear" w:color="auto" w:fill="6E3CBE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400CC7" w14:textId="77777777" w:rsidR="00E5309E" w:rsidRDefault="00000000">
            <w:pPr>
              <w:spacing w:before="60" w:after="60"/>
            </w:pPr>
            <w:r>
              <w:t xml:space="preserve"> 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5B37080E" w14:textId="7573E573" w:rsidR="00E5309E" w:rsidRDefault="00BB0CFE">
            <w:pPr>
              <w:spacing w:before="60" w:after="60"/>
            </w:pPr>
            <w:r>
              <w:rPr>
                <w:sz w:val="18"/>
                <w:szCs w:val="18"/>
              </w:rPr>
              <w:t>Test Company Purple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3CF227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6E3CBE"/>
                <w:sz w:val="16"/>
                <w:szCs w:val="16"/>
              </w:rPr>
              <w:t>#6E3CBE</w:t>
            </w:r>
          </w:p>
        </w:tc>
        <w:tc>
          <w:tcPr>
            <w:tcW w:w="56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62229FAD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Primary series. Always first.</w:t>
            </w:r>
          </w:p>
        </w:tc>
      </w:tr>
      <w:tr w:rsidR="00E5309E" w14:paraId="49380101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26C915" w14:textId="77777777" w:rsidR="00E5309E" w:rsidRDefault="00000000">
            <w:pPr>
              <w:jc w:val="center"/>
            </w:pPr>
            <w:r>
              <w:rPr>
                <w:b/>
                <w:bCs/>
                <w:color w:val="6E3CBE"/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shd w:val="clear" w:color="auto" w:fill="0A9BCD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FD3194" w14:textId="77777777" w:rsidR="00E5309E" w:rsidRDefault="00000000">
            <w:pPr>
              <w:spacing w:before="60" w:after="60"/>
            </w:pPr>
            <w:r>
              <w:t xml:space="preserve"> 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2163B37D" w14:textId="11B290F5" w:rsidR="00E5309E" w:rsidRDefault="00BB0CFE">
            <w:pPr>
              <w:spacing w:before="60" w:after="60"/>
            </w:pPr>
            <w:r>
              <w:rPr>
                <w:sz w:val="18"/>
                <w:szCs w:val="18"/>
              </w:rPr>
              <w:t>Test Company Blue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E98925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6E3CBE"/>
                <w:sz w:val="16"/>
                <w:szCs w:val="16"/>
              </w:rPr>
              <w:t>#0A9BCD</w:t>
            </w:r>
          </w:p>
        </w:tc>
        <w:tc>
          <w:tcPr>
            <w:tcW w:w="56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023F15E7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Secondary series.</w:t>
            </w:r>
          </w:p>
        </w:tc>
      </w:tr>
      <w:tr w:rsidR="00E5309E" w14:paraId="41F23C4B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8B6527" w14:textId="77777777" w:rsidR="00E5309E" w:rsidRDefault="00000000">
            <w:pPr>
              <w:jc w:val="center"/>
            </w:pPr>
            <w:r>
              <w:rPr>
                <w:b/>
                <w:bCs/>
                <w:color w:val="6E3CBE"/>
                <w:sz w:val="18"/>
                <w:szCs w:val="18"/>
              </w:rPr>
              <w:t>3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shd w:val="clear" w:color="auto" w:fill="F5B40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B42EDB" w14:textId="77777777" w:rsidR="00E5309E" w:rsidRDefault="00000000">
            <w:pPr>
              <w:spacing w:before="60" w:after="60"/>
            </w:pPr>
            <w:r>
              <w:t xml:space="preserve"> 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05766F6A" w14:textId="79E7A2A6" w:rsidR="00E5309E" w:rsidRDefault="00BB0CFE">
            <w:pPr>
              <w:spacing w:before="60" w:after="60"/>
            </w:pPr>
            <w:r>
              <w:rPr>
                <w:sz w:val="18"/>
                <w:szCs w:val="18"/>
              </w:rPr>
              <w:t>Test Company Yellow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9CDFB2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6E3CBE"/>
                <w:sz w:val="16"/>
                <w:szCs w:val="16"/>
              </w:rPr>
              <w:t>#F5B400</w:t>
            </w:r>
          </w:p>
        </w:tc>
        <w:tc>
          <w:tcPr>
            <w:tcW w:w="56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3C3E6D41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Tertiary series.</w:t>
            </w:r>
          </w:p>
        </w:tc>
      </w:tr>
      <w:tr w:rsidR="00E5309E" w14:paraId="76EA9BFA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FFCF62" w14:textId="77777777" w:rsidR="00E5309E" w:rsidRDefault="00000000">
            <w:pPr>
              <w:jc w:val="center"/>
            </w:pPr>
            <w:r>
              <w:rPr>
                <w:b/>
                <w:bCs/>
                <w:color w:val="6E3CBE"/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shd w:val="clear" w:color="auto" w:fill="F0640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C396AD" w14:textId="77777777" w:rsidR="00E5309E" w:rsidRDefault="00000000">
            <w:pPr>
              <w:spacing w:before="60" w:after="60"/>
            </w:pPr>
            <w:r>
              <w:t xml:space="preserve"> 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3E784DE7" w14:textId="2BDD7E88" w:rsidR="00E5309E" w:rsidRDefault="00BB0CFE">
            <w:pPr>
              <w:spacing w:before="60" w:after="60"/>
            </w:pPr>
            <w:r>
              <w:rPr>
                <w:sz w:val="18"/>
                <w:szCs w:val="18"/>
              </w:rPr>
              <w:t>Test Company Orange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5175B4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6E3CBE"/>
                <w:sz w:val="16"/>
                <w:szCs w:val="16"/>
              </w:rPr>
              <w:t>#F06400</w:t>
            </w:r>
          </w:p>
        </w:tc>
        <w:tc>
          <w:tcPr>
            <w:tcW w:w="56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581D4B9D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Quaternary / negative context.</w:t>
            </w:r>
          </w:p>
        </w:tc>
      </w:tr>
      <w:tr w:rsidR="00E5309E" w14:paraId="070D4BD5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6EACC6" w14:textId="77777777" w:rsidR="00E5309E" w:rsidRDefault="00000000">
            <w:pPr>
              <w:jc w:val="center"/>
            </w:pPr>
            <w:r>
              <w:rPr>
                <w:b/>
                <w:bCs/>
                <w:color w:val="6E3CBE"/>
                <w:sz w:val="18"/>
                <w:szCs w:val="18"/>
              </w:rPr>
              <w:t>5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shd w:val="clear" w:color="auto" w:fill="00B176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E6F196" w14:textId="77777777" w:rsidR="00E5309E" w:rsidRDefault="00000000">
            <w:pPr>
              <w:spacing w:before="60" w:after="60"/>
            </w:pPr>
            <w:r>
              <w:t xml:space="preserve"> 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0FCED02D" w14:textId="5A49688E" w:rsidR="00E5309E" w:rsidRDefault="00BB0CFE">
            <w:pPr>
              <w:spacing w:before="60" w:after="60"/>
            </w:pPr>
            <w:r>
              <w:rPr>
                <w:sz w:val="18"/>
                <w:szCs w:val="18"/>
              </w:rPr>
              <w:t>Test Company Green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15092B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6E3CBE"/>
                <w:sz w:val="16"/>
                <w:szCs w:val="16"/>
              </w:rPr>
              <w:t>#00B176</w:t>
            </w:r>
          </w:p>
        </w:tc>
        <w:tc>
          <w:tcPr>
            <w:tcW w:w="56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1E0D80A7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Fifth series / positive context.</w:t>
            </w:r>
          </w:p>
        </w:tc>
      </w:tr>
      <w:tr w:rsidR="00E5309E" w14:paraId="43B60150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22D098" w14:textId="77777777" w:rsidR="00E5309E" w:rsidRDefault="00000000">
            <w:pPr>
              <w:jc w:val="center"/>
            </w:pPr>
            <w:r>
              <w:rPr>
                <w:b/>
                <w:bCs/>
                <w:color w:val="6E3CBE"/>
                <w:sz w:val="18"/>
                <w:szCs w:val="18"/>
              </w:rPr>
              <w:lastRenderedPageBreak/>
              <w:t>6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shd w:val="clear" w:color="auto" w:fill="925ED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A9231E" w14:textId="77777777" w:rsidR="00E5309E" w:rsidRDefault="00000000">
            <w:pPr>
              <w:spacing w:before="60" w:after="60"/>
            </w:pPr>
            <w:r>
              <w:t xml:space="preserve"> 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01B5362E" w14:textId="77777777" w:rsidR="00E5309E" w:rsidRDefault="00000000">
            <w:pPr>
              <w:spacing w:before="60" w:after="60"/>
            </w:pPr>
            <w:r>
              <w:rPr>
                <w:sz w:val="18"/>
                <w:szCs w:val="18"/>
              </w:rPr>
              <w:t>Purple 75%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EC34FD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6E3CBE"/>
                <w:sz w:val="16"/>
                <w:szCs w:val="16"/>
              </w:rPr>
              <w:t>#925ED2</w:t>
            </w:r>
          </w:p>
        </w:tc>
        <w:tc>
          <w:tcPr>
            <w:tcW w:w="56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43B9A32E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Sixth series — begin using tints.</w:t>
            </w:r>
          </w:p>
        </w:tc>
      </w:tr>
      <w:tr w:rsidR="00E5309E" w14:paraId="785BD527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5D3F97" w14:textId="77777777" w:rsidR="00E5309E" w:rsidRDefault="00000000">
            <w:pPr>
              <w:jc w:val="center"/>
            </w:pPr>
            <w:r>
              <w:rPr>
                <w:b/>
                <w:bCs/>
                <w:color w:val="6E3CBE"/>
                <w:sz w:val="18"/>
                <w:szCs w:val="18"/>
              </w:rPr>
              <w:t>7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shd w:val="clear" w:color="auto" w:fill="4AC5E5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5D626A" w14:textId="77777777" w:rsidR="00E5309E" w:rsidRDefault="00000000">
            <w:pPr>
              <w:spacing w:before="60" w:after="60"/>
            </w:pPr>
            <w:r>
              <w:t xml:space="preserve"> 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55955F30" w14:textId="77777777" w:rsidR="00E5309E" w:rsidRDefault="00000000">
            <w:pPr>
              <w:spacing w:before="60" w:after="60"/>
            </w:pPr>
            <w:r>
              <w:rPr>
                <w:sz w:val="18"/>
                <w:szCs w:val="18"/>
              </w:rPr>
              <w:t>Blue 50%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7196D1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6E3CBE"/>
                <w:sz w:val="16"/>
                <w:szCs w:val="16"/>
              </w:rPr>
              <w:t>#4AC5E5</w:t>
            </w:r>
          </w:p>
        </w:tc>
        <w:tc>
          <w:tcPr>
            <w:tcW w:w="56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46B3BCB9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>Seventh series.</w:t>
            </w:r>
          </w:p>
        </w:tc>
      </w:tr>
      <w:tr w:rsidR="00E5309E" w14:paraId="0B62E4DD" w14:textId="77777777">
        <w:tc>
          <w:tcPr>
            <w:tcW w:w="5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0D3219" w14:textId="77777777" w:rsidR="00E5309E" w:rsidRDefault="00000000">
            <w:pPr>
              <w:jc w:val="center"/>
            </w:pPr>
            <w:r>
              <w:rPr>
                <w:b/>
                <w:bCs/>
                <w:color w:val="6E3CBE"/>
                <w:sz w:val="18"/>
                <w:szCs w:val="18"/>
              </w:rPr>
              <w:t>8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shd w:val="clear" w:color="auto" w:fill="A9A9A9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47EFE0" w14:textId="77777777" w:rsidR="00E5309E" w:rsidRDefault="00000000">
            <w:pPr>
              <w:spacing w:before="60" w:after="60"/>
            </w:pPr>
            <w:r>
              <w:t xml:space="preserve"> 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29CA5BE3" w14:textId="77777777" w:rsidR="00E5309E" w:rsidRDefault="00000000">
            <w:pPr>
              <w:spacing w:before="60" w:after="60"/>
            </w:pPr>
            <w:r>
              <w:rPr>
                <w:sz w:val="18"/>
                <w:szCs w:val="18"/>
              </w:rPr>
              <w:t>Mid Grey</w:t>
            </w:r>
          </w:p>
        </w:tc>
        <w:tc>
          <w:tcPr>
            <w:tcW w:w="8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33E283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color w:val="6E3CBE"/>
                <w:sz w:val="16"/>
                <w:szCs w:val="16"/>
              </w:rPr>
              <w:t>#A9A9A9</w:t>
            </w:r>
          </w:p>
        </w:tc>
        <w:tc>
          <w:tcPr>
            <w:tcW w:w="56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60" w:type="dxa"/>
            </w:tcMar>
          </w:tcPr>
          <w:p w14:paraId="0885ADA2" w14:textId="77777777" w:rsidR="00E5309E" w:rsidRDefault="00000000">
            <w:pPr>
              <w:spacing w:before="60" w:after="60"/>
            </w:pPr>
            <w:r>
              <w:rPr>
                <w:color w:val="7E7E7E"/>
                <w:sz w:val="17"/>
                <w:szCs w:val="17"/>
              </w:rPr>
              <w:t xml:space="preserve">Eighth series. </w:t>
            </w:r>
            <w:proofErr w:type="gramStart"/>
            <w:r>
              <w:rPr>
                <w:color w:val="7E7E7E"/>
                <w:sz w:val="17"/>
                <w:szCs w:val="17"/>
              </w:rPr>
              <w:t>Prior year</w:t>
            </w:r>
            <w:proofErr w:type="gramEnd"/>
            <w:r>
              <w:rPr>
                <w:color w:val="7E7E7E"/>
                <w:sz w:val="17"/>
                <w:szCs w:val="17"/>
              </w:rPr>
              <w:t xml:space="preserve"> or inactive.</w:t>
            </w:r>
          </w:p>
        </w:tc>
      </w:tr>
    </w:tbl>
    <w:p w14:paraId="6BF2B0EC" w14:textId="77777777" w:rsidR="00E5309E" w:rsidRDefault="00E5309E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5"/>
        <w:gridCol w:w="8695"/>
      </w:tblGrid>
      <w:tr w:rsidR="00E5309E" w14:paraId="32915E7E" w14:textId="77777777">
        <w:tc>
          <w:tcPr>
            <w:tcW w:w="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64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A483E" w14:textId="77777777" w:rsidR="00E5309E" w:rsidRDefault="00000000">
            <w:r>
              <w:rPr>
                <w:b/>
                <w:bCs/>
                <w:color w:val="FFFFFF"/>
                <w:sz w:val="16"/>
                <w:szCs w:val="16"/>
              </w:rPr>
              <w:t>WARN</w:t>
            </w:r>
          </w:p>
        </w:tc>
        <w:tc>
          <w:tcPr>
            <w:tcW w:w="8960" w:type="dxa"/>
            <w:tcBorders>
              <w:top w:val="none" w:sz="0" w:space="0" w:color="FFFFFF"/>
              <w:left w:val="single" w:sz="4" w:space="0" w:color="F06400"/>
              <w:bottom w:val="none" w:sz="0" w:space="0" w:color="FFFFFF"/>
              <w:right w:val="none" w:sz="0" w:space="0" w:color="FFFFFF"/>
            </w:tcBorders>
            <w:shd w:val="clear" w:color="auto" w:fill="FFF4EC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66324BC3" w14:textId="36B1E07D" w:rsidR="00E5309E" w:rsidRDefault="00000000">
            <w:r>
              <w:rPr>
                <w:sz w:val="18"/>
                <w:szCs w:val="18"/>
              </w:rPr>
              <w:t xml:space="preserve">Maximum 5 distinct series </w:t>
            </w:r>
            <w:r w:rsidR="00BD68BB">
              <w:rPr>
                <w:sz w:val="18"/>
                <w:szCs w:val="18"/>
              </w:rPr>
              <w:t>color</w:t>
            </w:r>
            <w:r>
              <w:rPr>
                <w:sz w:val="18"/>
                <w:szCs w:val="18"/>
              </w:rPr>
              <w:t>s before introducing tints. Beyond 8 series, consider redesigning the visual into multiple charts or using a table.</w:t>
            </w:r>
          </w:p>
        </w:tc>
      </w:tr>
    </w:tbl>
    <w:p w14:paraId="0DE2DBC5" w14:textId="77777777" w:rsidR="00E5309E" w:rsidRDefault="00E5309E">
      <w:pPr>
        <w:spacing w:before="80" w:after="80"/>
      </w:pPr>
    </w:p>
    <w:p w14:paraId="5315DFCB" w14:textId="77777777" w:rsidR="00E5309E" w:rsidRDefault="00E5309E">
      <w:pPr>
        <w:spacing w:before="80" w:after="80"/>
      </w:pPr>
    </w:p>
    <w:p w14:paraId="093756AD" w14:textId="77777777" w:rsidR="00E5309E" w:rsidRDefault="00E5309E">
      <w:pPr>
        <w:pageBreakBefore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E5309E" w14:paraId="7CA3BCA6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6E3CBE"/>
            <w:tcMar>
              <w:top w:w="120" w:type="dxa"/>
              <w:left w:w="120" w:type="dxa"/>
              <w:bottom w:w="120" w:type="dxa"/>
              <w:right w:w="80" w:type="dxa"/>
            </w:tcMar>
            <w:vAlign w:val="center"/>
          </w:tcPr>
          <w:p w14:paraId="2B04DBDA" w14:textId="77777777" w:rsidR="00E5309E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07</w:t>
            </w:r>
          </w:p>
        </w:tc>
        <w:tc>
          <w:tcPr>
            <w:tcW w:w="8760" w:type="dxa"/>
            <w:tcBorders>
              <w:top w:val="none" w:sz="0" w:space="0" w:color="FFFFFF"/>
              <w:left w:val="single" w:sz="2" w:space="0" w:color="6E3CBE"/>
              <w:bottom w:val="none" w:sz="0" w:space="0" w:color="FFFFFF"/>
              <w:right w:val="none" w:sz="0" w:space="0" w:color="FFFFFF"/>
            </w:tcBorders>
            <w:shd w:val="clear" w:color="auto" w:fill="282828"/>
            <w:tcMar>
              <w:top w:w="120" w:type="dxa"/>
              <w:left w:w="200" w:type="dxa"/>
              <w:bottom w:w="120" w:type="dxa"/>
              <w:right w:w="120" w:type="dxa"/>
            </w:tcMar>
          </w:tcPr>
          <w:p w14:paraId="74730C17" w14:textId="77777777" w:rsidR="00E5309E" w:rsidRDefault="00000000">
            <w:r>
              <w:rPr>
                <w:b/>
                <w:bCs/>
                <w:color w:val="FFFFFF"/>
                <w:sz w:val="30"/>
                <w:szCs w:val="30"/>
              </w:rPr>
              <w:t>KPI Card Standards</w:t>
            </w:r>
          </w:p>
        </w:tc>
      </w:tr>
    </w:tbl>
    <w:p w14:paraId="30891488" w14:textId="77777777" w:rsidR="00E5309E" w:rsidRDefault="00E5309E">
      <w:pPr>
        <w:spacing w:before="80" w:after="80"/>
      </w:pPr>
    </w:p>
    <w:p w14:paraId="15E5725C" w14:textId="77777777" w:rsidR="00E5309E" w:rsidRDefault="00000000">
      <w:pPr>
        <w:spacing w:before="60" w:after="60"/>
      </w:pPr>
      <w:r>
        <w:t xml:space="preserve">KPI cards are the primary at-a-glance communication tool in a dashboard. </w:t>
      </w:r>
      <w:proofErr w:type="gramStart"/>
      <w:r>
        <w:t>Consistency</w:t>
      </w:r>
      <w:proofErr w:type="gramEnd"/>
      <w:r>
        <w:t xml:space="preserve"> in their design is critical for rapid user comprehension.</w:t>
      </w:r>
    </w:p>
    <w:p w14:paraId="1E60FBCE" w14:textId="77777777" w:rsidR="00E5309E" w:rsidRDefault="00E5309E">
      <w:pPr>
        <w:spacing w:before="80" w:after="80"/>
      </w:pPr>
    </w:p>
    <w:p w14:paraId="09A8D326" w14:textId="77777777" w:rsidR="00E5309E" w:rsidRDefault="00000000">
      <w:pPr>
        <w:pStyle w:val="Heading3"/>
      </w:pPr>
      <w:r>
        <w:t>Required KPI Card Elements</w:t>
      </w:r>
    </w:p>
    <w:p w14:paraId="2CB90CF5" w14:textId="093ACF7D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Top accent stripe: 3px, semantic </w:t>
      </w:r>
      <w:r w:rsidR="00BD68BB">
        <w:t>color</w:t>
      </w:r>
      <w:r>
        <w:t xml:space="preserve"> of the metric</w:t>
      </w:r>
    </w:p>
    <w:p w14:paraId="5232D6AA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Metric label: 10pt </w:t>
      </w:r>
      <w:proofErr w:type="gramStart"/>
      <w:r>
        <w:t>uppercase, #</w:t>
      </w:r>
      <w:proofErr w:type="gramEnd"/>
      <w:r>
        <w:t xml:space="preserve">7E7E7E, </w:t>
      </w:r>
      <w:proofErr w:type="gramStart"/>
      <w:r>
        <w:t>letter-spacing</w:t>
      </w:r>
      <w:proofErr w:type="gramEnd"/>
      <w:r>
        <w:t xml:space="preserve"> 0.06em</w:t>
      </w:r>
    </w:p>
    <w:p w14:paraId="0362126D" w14:textId="38AB8D22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Metric value: 24–36pt bold, semantic </w:t>
      </w:r>
      <w:r w:rsidR="00BD68BB">
        <w:t>color</w:t>
      </w:r>
      <w:r>
        <w:t xml:space="preserve"> (default: </w:t>
      </w:r>
      <w:r w:rsidR="00BB0CFE">
        <w:t>Test Company</w:t>
      </w:r>
      <w:r>
        <w:t xml:space="preserve"> Purple)</w:t>
      </w:r>
    </w:p>
    <w:p w14:paraId="64698AD4" w14:textId="70E5C446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Delta indicator: 11pt, arrow + percentage/absolute change, semantic </w:t>
      </w:r>
      <w:r w:rsidR="00BD68BB">
        <w:t>color</w:t>
      </w:r>
    </w:p>
    <w:p w14:paraId="3FFFDFCD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Comparison context: "vs prior year", "vs </w:t>
      </w:r>
      <w:proofErr w:type="gramStart"/>
      <w:r>
        <w:t>target" —</w:t>
      </w:r>
      <w:proofErr w:type="gramEnd"/>
      <w:r>
        <w:t xml:space="preserve"> </w:t>
      </w:r>
      <w:proofErr w:type="gramStart"/>
      <w:r>
        <w:t>small muted</w:t>
      </w:r>
      <w:proofErr w:type="gramEnd"/>
      <w:r>
        <w:t xml:space="preserve"> label</w:t>
      </w:r>
    </w:p>
    <w:p w14:paraId="56398DD1" w14:textId="77777777" w:rsidR="00E5309E" w:rsidRDefault="00E5309E">
      <w:pPr>
        <w:spacing w:before="80" w:after="80"/>
      </w:pPr>
    </w:p>
    <w:p w14:paraId="79027CAA" w14:textId="77777777" w:rsidR="00E5309E" w:rsidRDefault="00000000">
      <w:pPr>
        <w:pStyle w:val="Heading3"/>
      </w:pPr>
      <w:r>
        <w:t>Optional KPI Card Elements</w:t>
      </w:r>
    </w:p>
    <w:p w14:paraId="6F757B9E" w14:textId="71D2001C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Sparkline: height 24–28px at card base; matching </w:t>
      </w:r>
      <w:r w:rsidR="00BD68BB">
        <w:t>color</w:t>
      </w:r>
      <w:r>
        <w:t>, 70% opacity bars</w:t>
      </w:r>
    </w:p>
    <w:p w14:paraId="091451F7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>Progress bar: height 5–6px below value; shows % of target</w:t>
      </w:r>
    </w:p>
    <w:p w14:paraId="6B99240E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>Trend icon: small directional icon to reinforce delta direction</w:t>
      </w:r>
    </w:p>
    <w:p w14:paraId="6D09172F" w14:textId="77777777" w:rsidR="00E5309E" w:rsidRDefault="00E5309E">
      <w:pPr>
        <w:spacing w:before="80" w:after="80"/>
      </w:pPr>
    </w:p>
    <w:p w14:paraId="10CB47B6" w14:textId="18C9EEF5" w:rsidR="00E5309E" w:rsidRDefault="00000000">
      <w:pPr>
        <w:pStyle w:val="Heading3"/>
      </w:pPr>
      <w:r>
        <w:t xml:space="preserve">KPI Card </w:t>
      </w:r>
      <w:r w:rsidR="00BD68BB">
        <w:t>Color</w:t>
      </w:r>
      <w:r>
        <w:t xml:space="preserve"> Assignment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E5309E" w14:paraId="17591154" w14:textId="77777777">
        <w:tc>
          <w:tcPr>
            <w:tcW w:w="46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60" w:type="dxa"/>
            </w:tcMar>
          </w:tcPr>
          <w:tbl>
            <w:tblPr>
              <w:tblW w:w="9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60"/>
            </w:tblGrid>
            <w:tr w:rsidR="00E5309E" w14:paraId="5F394A26" w14:textId="77777777">
              <w:tc>
                <w:tcPr>
                  <w:tcW w:w="9360" w:type="dxa"/>
                  <w:tcBorders>
                    <w:top w:val="none" w:sz="0" w:space="0" w:color="FFFFFF"/>
                    <w:left w:val="single" w:sz="16" w:space="0" w:color="6E3CBE"/>
                    <w:bottom w:val="none" w:sz="0" w:space="0" w:color="FFFFFF"/>
                    <w:right w:val="none" w:sz="0" w:space="0" w:color="FFFFFF"/>
                  </w:tcBorders>
                  <w:shd w:val="clear" w:color="auto" w:fill="FAFAFA"/>
                  <w:tcMar>
                    <w:top w:w="100" w:type="dxa"/>
                    <w:left w:w="160" w:type="dxa"/>
                    <w:bottom w:w="100" w:type="dxa"/>
                    <w:right w:w="120" w:type="dxa"/>
                  </w:tcMar>
                </w:tcPr>
                <w:p w14:paraId="618AB84E" w14:textId="77777777" w:rsidR="00E5309E" w:rsidRDefault="00000000">
                  <w:pPr>
                    <w:spacing w:after="40"/>
                  </w:pPr>
                  <w:r>
                    <w:rPr>
                      <w:b/>
                      <w:bCs/>
                      <w:color w:val="6E3CBE"/>
                    </w:rPr>
                    <w:t>Revenue / Primary metric</w:t>
                  </w:r>
                </w:p>
                <w:p w14:paraId="21CD621A" w14:textId="3820D731" w:rsidR="00E5309E" w:rsidRDefault="00000000">
                  <w:r>
                    <w:rPr>
                      <w:sz w:val="18"/>
                      <w:szCs w:val="18"/>
                    </w:rPr>
                    <w:t xml:space="preserve">Always </w:t>
                  </w:r>
                  <w:r w:rsidR="00BB0CFE">
                    <w:rPr>
                      <w:sz w:val="18"/>
                      <w:szCs w:val="18"/>
                    </w:rPr>
                    <w:t>Test Company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sz w:val="18"/>
                      <w:szCs w:val="18"/>
                    </w:rPr>
                    <w:t>Purple (#</w:t>
                  </w:r>
                  <w:proofErr w:type="gramEnd"/>
                  <w:r>
                    <w:rPr>
                      <w:sz w:val="18"/>
                      <w:szCs w:val="18"/>
                    </w:rPr>
                    <w:t>6E3CBE). This is the hero metric.</w:t>
                  </w:r>
                </w:p>
              </w:tc>
            </w:tr>
          </w:tbl>
          <w:p w14:paraId="33DE7151" w14:textId="77777777" w:rsidR="00E5309E" w:rsidRDefault="00E5309E">
            <w:pPr>
              <w:spacing w:before="80" w:after="80"/>
            </w:pPr>
          </w:p>
          <w:tbl>
            <w:tblPr>
              <w:tblW w:w="9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60"/>
            </w:tblGrid>
            <w:tr w:rsidR="00E5309E" w14:paraId="5BC8A1E8" w14:textId="77777777">
              <w:tc>
                <w:tcPr>
                  <w:tcW w:w="9360" w:type="dxa"/>
                  <w:tcBorders>
                    <w:top w:val="none" w:sz="0" w:space="0" w:color="FFFFFF"/>
                    <w:left w:val="single" w:sz="16" w:space="0" w:color="00B176"/>
                    <w:bottom w:val="none" w:sz="0" w:space="0" w:color="FFFFFF"/>
                    <w:right w:val="none" w:sz="0" w:space="0" w:color="FFFFFF"/>
                  </w:tcBorders>
                  <w:shd w:val="clear" w:color="auto" w:fill="FAFAFA"/>
                  <w:tcMar>
                    <w:top w:w="100" w:type="dxa"/>
                    <w:left w:w="160" w:type="dxa"/>
                    <w:bottom w:w="100" w:type="dxa"/>
                    <w:right w:w="120" w:type="dxa"/>
                  </w:tcMar>
                </w:tcPr>
                <w:p w14:paraId="77ADFE46" w14:textId="77777777" w:rsidR="00E5309E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B176"/>
                    </w:rPr>
                    <w:t>Positive secondary metric</w:t>
                  </w:r>
                </w:p>
                <w:p w14:paraId="6900B911" w14:textId="280BDADC" w:rsidR="00E5309E" w:rsidRDefault="00BB0CFE">
                  <w:r>
                    <w:rPr>
                      <w:sz w:val="18"/>
                      <w:szCs w:val="18"/>
                    </w:rPr>
                    <w:t xml:space="preserve">Test Company </w:t>
                  </w:r>
                  <w:proofErr w:type="gramStart"/>
                  <w:r>
                    <w:rPr>
                      <w:sz w:val="18"/>
                      <w:szCs w:val="18"/>
                    </w:rPr>
                    <w:t>Green (#</w:t>
                  </w:r>
                  <w:proofErr w:type="gramEnd"/>
                  <w:r>
                    <w:rPr>
                      <w:sz w:val="18"/>
                      <w:szCs w:val="18"/>
                    </w:rPr>
                    <w:t>00B176). E.g. profit margin above target.</w:t>
                  </w:r>
                </w:p>
              </w:tc>
            </w:tr>
          </w:tbl>
          <w:p w14:paraId="3AF82E3A" w14:textId="77777777" w:rsidR="00E5309E" w:rsidRDefault="00E5309E">
            <w:pPr>
              <w:spacing w:before="80" w:after="80"/>
            </w:pPr>
          </w:p>
          <w:tbl>
            <w:tblPr>
              <w:tblW w:w="9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60"/>
            </w:tblGrid>
            <w:tr w:rsidR="00E5309E" w14:paraId="69C6DEE9" w14:textId="77777777">
              <w:tc>
                <w:tcPr>
                  <w:tcW w:w="9360" w:type="dxa"/>
                  <w:tcBorders>
                    <w:top w:val="none" w:sz="0" w:space="0" w:color="FFFFFF"/>
                    <w:left w:val="single" w:sz="16" w:space="0" w:color="F5B400"/>
                    <w:bottom w:val="none" w:sz="0" w:space="0" w:color="FFFFFF"/>
                    <w:right w:val="none" w:sz="0" w:space="0" w:color="FFFFFF"/>
                  </w:tcBorders>
                  <w:shd w:val="clear" w:color="auto" w:fill="FAFAFA"/>
                  <w:tcMar>
                    <w:top w:w="100" w:type="dxa"/>
                    <w:left w:w="160" w:type="dxa"/>
                    <w:bottom w:w="100" w:type="dxa"/>
                    <w:right w:w="120" w:type="dxa"/>
                  </w:tcMar>
                </w:tcPr>
                <w:p w14:paraId="5E1244F4" w14:textId="77777777" w:rsidR="00E5309E" w:rsidRDefault="00000000">
                  <w:pPr>
                    <w:spacing w:after="40"/>
                  </w:pPr>
                  <w:r>
                    <w:rPr>
                      <w:b/>
                      <w:bCs/>
                      <w:color w:val="F5B400"/>
                    </w:rPr>
                    <w:t>Cautionary metric</w:t>
                  </w:r>
                </w:p>
                <w:p w14:paraId="7DEC3554" w14:textId="1AD0D2A8" w:rsidR="00E5309E" w:rsidRDefault="00BB0CFE">
                  <w:r>
                    <w:rPr>
                      <w:sz w:val="18"/>
                      <w:szCs w:val="18"/>
                    </w:rPr>
                    <w:t xml:space="preserve">Test Company </w:t>
                  </w:r>
                  <w:proofErr w:type="gramStart"/>
                  <w:r>
                    <w:rPr>
                      <w:sz w:val="18"/>
                      <w:szCs w:val="18"/>
                    </w:rPr>
                    <w:t>Yellow (#</w:t>
                  </w:r>
                  <w:proofErr w:type="gramEnd"/>
                  <w:r>
                    <w:rPr>
                      <w:sz w:val="18"/>
                      <w:szCs w:val="18"/>
                    </w:rPr>
                    <w:t xml:space="preserve">F5B400). E.g. budget </w:t>
                  </w:r>
                  <w:proofErr w:type="spellStart"/>
                  <w:r>
                    <w:rPr>
                      <w:sz w:val="18"/>
                      <w:szCs w:val="18"/>
                    </w:rPr>
                    <w:t>utilisation</w:t>
                  </w:r>
                  <w:proofErr w:type="spellEnd"/>
                  <w:r>
                    <w:rPr>
                      <w:sz w:val="18"/>
                      <w:szCs w:val="18"/>
                    </w:rPr>
                    <w:t xml:space="preserve"> at 85%.</w:t>
                  </w:r>
                </w:p>
              </w:tc>
            </w:tr>
          </w:tbl>
          <w:p w14:paraId="0D62732E" w14:textId="77777777" w:rsidR="00E5309E" w:rsidRDefault="00E5309E"/>
        </w:tc>
        <w:tc>
          <w:tcPr>
            <w:tcW w:w="47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60" w:type="dxa"/>
              <w:bottom w:w="0" w:type="dxa"/>
              <w:right w:w="0" w:type="dxa"/>
            </w:tcMar>
          </w:tcPr>
          <w:tbl>
            <w:tblPr>
              <w:tblW w:w="9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60"/>
            </w:tblGrid>
            <w:tr w:rsidR="00E5309E" w14:paraId="0F12878C" w14:textId="77777777">
              <w:tc>
                <w:tcPr>
                  <w:tcW w:w="9360" w:type="dxa"/>
                  <w:tcBorders>
                    <w:top w:val="none" w:sz="0" w:space="0" w:color="FFFFFF"/>
                    <w:left w:val="single" w:sz="16" w:space="0" w:color="0A9BCD"/>
                    <w:bottom w:val="none" w:sz="0" w:space="0" w:color="FFFFFF"/>
                    <w:right w:val="none" w:sz="0" w:space="0" w:color="FFFFFF"/>
                  </w:tcBorders>
                  <w:shd w:val="clear" w:color="auto" w:fill="FAFAFA"/>
                  <w:tcMar>
                    <w:top w:w="100" w:type="dxa"/>
                    <w:left w:w="160" w:type="dxa"/>
                    <w:bottom w:w="100" w:type="dxa"/>
                    <w:right w:w="120" w:type="dxa"/>
                  </w:tcMar>
                </w:tcPr>
                <w:p w14:paraId="14E959B8" w14:textId="77777777" w:rsidR="00E5309E" w:rsidRDefault="00000000">
                  <w:pPr>
                    <w:spacing w:after="40"/>
                  </w:pPr>
                  <w:r>
                    <w:rPr>
                      <w:b/>
                      <w:bCs/>
                      <w:color w:val="0A9BCD"/>
                    </w:rPr>
                    <w:t>Informational metric</w:t>
                  </w:r>
                </w:p>
                <w:p w14:paraId="5723AF8D" w14:textId="02C7995D" w:rsidR="00E5309E" w:rsidRDefault="00BB0CFE">
                  <w:r>
                    <w:rPr>
                      <w:sz w:val="18"/>
                      <w:szCs w:val="18"/>
                    </w:rPr>
                    <w:t xml:space="preserve">Test Company </w:t>
                  </w:r>
                  <w:proofErr w:type="gramStart"/>
                  <w:r>
                    <w:rPr>
                      <w:sz w:val="18"/>
                      <w:szCs w:val="18"/>
                    </w:rPr>
                    <w:t>Blue (#</w:t>
                  </w:r>
                  <w:proofErr w:type="gramEnd"/>
                  <w:r>
                    <w:rPr>
                      <w:sz w:val="18"/>
                      <w:szCs w:val="18"/>
                    </w:rPr>
                    <w:t>0A9BCD). E.g. volume counts, order counts.</w:t>
                  </w:r>
                </w:p>
              </w:tc>
            </w:tr>
          </w:tbl>
          <w:p w14:paraId="54E6B8BC" w14:textId="77777777" w:rsidR="00E5309E" w:rsidRDefault="00E5309E">
            <w:pPr>
              <w:spacing w:before="80" w:after="80"/>
            </w:pPr>
          </w:p>
          <w:tbl>
            <w:tblPr>
              <w:tblW w:w="9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60"/>
            </w:tblGrid>
            <w:tr w:rsidR="00E5309E" w14:paraId="6EF988A8" w14:textId="77777777">
              <w:tc>
                <w:tcPr>
                  <w:tcW w:w="9360" w:type="dxa"/>
                  <w:tcBorders>
                    <w:top w:val="none" w:sz="0" w:space="0" w:color="FFFFFF"/>
                    <w:left w:val="single" w:sz="16" w:space="0" w:color="F06400"/>
                    <w:bottom w:val="none" w:sz="0" w:space="0" w:color="FFFFFF"/>
                    <w:right w:val="none" w:sz="0" w:space="0" w:color="FFFFFF"/>
                  </w:tcBorders>
                  <w:shd w:val="clear" w:color="auto" w:fill="FAFAFA"/>
                  <w:tcMar>
                    <w:top w:w="100" w:type="dxa"/>
                    <w:left w:w="160" w:type="dxa"/>
                    <w:bottom w:w="100" w:type="dxa"/>
                    <w:right w:w="120" w:type="dxa"/>
                  </w:tcMar>
                </w:tcPr>
                <w:p w14:paraId="3249EAF3" w14:textId="77777777" w:rsidR="00E5309E" w:rsidRDefault="00000000">
                  <w:pPr>
                    <w:spacing w:after="40"/>
                  </w:pPr>
                  <w:r>
                    <w:rPr>
                      <w:b/>
                      <w:bCs/>
                      <w:color w:val="F06400"/>
                    </w:rPr>
                    <w:t>Negative / Alert metric</w:t>
                  </w:r>
                </w:p>
                <w:p w14:paraId="58C74045" w14:textId="16D95417" w:rsidR="00E5309E" w:rsidRDefault="00BB0CFE">
                  <w:r>
                    <w:rPr>
                      <w:sz w:val="18"/>
                      <w:szCs w:val="18"/>
                    </w:rPr>
                    <w:t xml:space="preserve">Test Company </w:t>
                  </w:r>
                  <w:proofErr w:type="gramStart"/>
                  <w:r>
                    <w:rPr>
                      <w:sz w:val="18"/>
                      <w:szCs w:val="18"/>
                    </w:rPr>
                    <w:t>Orange (#</w:t>
                  </w:r>
                  <w:proofErr w:type="gramEnd"/>
                  <w:r>
                    <w:rPr>
                      <w:sz w:val="18"/>
                      <w:szCs w:val="18"/>
                    </w:rPr>
                    <w:t>F06400). E.g. expenses over budget.</w:t>
                  </w:r>
                </w:p>
              </w:tc>
            </w:tr>
          </w:tbl>
          <w:p w14:paraId="75FC7CF4" w14:textId="77777777" w:rsidR="00E5309E" w:rsidRDefault="00E5309E">
            <w:pPr>
              <w:spacing w:before="80" w:after="80"/>
            </w:pPr>
          </w:p>
          <w:tbl>
            <w:tblPr>
              <w:tblW w:w="9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60"/>
            </w:tblGrid>
            <w:tr w:rsidR="00E5309E" w14:paraId="0ADACDEA" w14:textId="77777777">
              <w:tc>
                <w:tcPr>
                  <w:tcW w:w="9360" w:type="dxa"/>
                  <w:tcBorders>
                    <w:top w:val="none" w:sz="0" w:space="0" w:color="FFFFFF"/>
                    <w:left w:val="single" w:sz="16" w:space="0" w:color="6E3CBE"/>
                    <w:bottom w:val="none" w:sz="0" w:space="0" w:color="FFFFFF"/>
                    <w:right w:val="none" w:sz="0" w:space="0" w:color="FFFFFF"/>
                  </w:tcBorders>
                  <w:shd w:val="clear" w:color="auto" w:fill="FAFAFA"/>
                  <w:tcMar>
                    <w:top w:w="100" w:type="dxa"/>
                    <w:left w:w="160" w:type="dxa"/>
                    <w:bottom w:w="100" w:type="dxa"/>
                    <w:right w:w="120" w:type="dxa"/>
                  </w:tcMar>
                </w:tcPr>
                <w:p w14:paraId="72529A71" w14:textId="77777777" w:rsidR="00E5309E" w:rsidRDefault="00000000">
                  <w:pPr>
                    <w:spacing w:after="40"/>
                  </w:pPr>
                  <w:r>
                    <w:rPr>
                      <w:b/>
                      <w:bCs/>
                      <w:color w:val="6E3CBE"/>
                    </w:rPr>
                    <w:t>Ratio / Percentage metric</w:t>
                  </w:r>
                </w:p>
                <w:p w14:paraId="65FBE05A" w14:textId="667F72EB" w:rsidR="00E5309E" w:rsidRDefault="00BB0CFE">
                  <w:r>
                    <w:rPr>
                      <w:sz w:val="18"/>
                      <w:szCs w:val="18"/>
                    </w:rPr>
                    <w:t xml:space="preserve">Test Company </w:t>
                  </w:r>
                  <w:proofErr w:type="gramStart"/>
                  <w:r>
                    <w:rPr>
                      <w:sz w:val="18"/>
                      <w:szCs w:val="18"/>
                    </w:rPr>
                    <w:t>Purple (#</w:t>
                  </w:r>
                  <w:proofErr w:type="gramEnd"/>
                  <w:r>
                    <w:rPr>
                      <w:sz w:val="18"/>
                      <w:szCs w:val="18"/>
                    </w:rPr>
                    <w:t>6E3CBE) or Blue, depending on context.</w:t>
                  </w:r>
                </w:p>
              </w:tc>
            </w:tr>
          </w:tbl>
          <w:p w14:paraId="071A4F18" w14:textId="77777777" w:rsidR="00E5309E" w:rsidRDefault="00E5309E"/>
        </w:tc>
      </w:tr>
    </w:tbl>
    <w:p w14:paraId="4EFA938A" w14:textId="77777777" w:rsidR="00E5309E" w:rsidRDefault="00E5309E">
      <w:pPr>
        <w:spacing w:before="80" w:after="80"/>
      </w:pPr>
    </w:p>
    <w:p w14:paraId="7DFAEEAB" w14:textId="77777777" w:rsidR="00E5309E" w:rsidRDefault="00000000">
      <w:pPr>
        <w:pStyle w:val="Heading3"/>
      </w:pPr>
      <w:r>
        <w:t>KPI Strip Layout Rules</w:t>
      </w:r>
    </w:p>
    <w:p w14:paraId="1EA318A6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>Group 3–5 KPI cards in a single horizontal strip at the top of the dashboard</w:t>
      </w:r>
    </w:p>
    <w:p w14:paraId="71F55BF6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>Cards must be equal width within the strip</w:t>
      </w:r>
    </w:p>
    <w:p w14:paraId="6CD5ED64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>Strip height: 100–120px fixed</w:t>
      </w:r>
    </w:p>
    <w:p w14:paraId="66010D70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>Cards sit on white background within the Light Grey page background</w:t>
      </w:r>
    </w:p>
    <w:p w14:paraId="516D621F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>Border between cards: 1px #EEEEEE (internal divider, not outer border)</w:t>
      </w:r>
    </w:p>
    <w:p w14:paraId="6C5A1055" w14:textId="77777777" w:rsidR="00E5309E" w:rsidRDefault="00E5309E">
      <w:pPr>
        <w:spacing w:before="80" w:after="80"/>
      </w:pPr>
    </w:p>
    <w:p w14:paraId="56317B3F" w14:textId="77777777" w:rsidR="00E5309E" w:rsidRDefault="00E5309E">
      <w:pPr>
        <w:spacing w:before="80" w:after="80"/>
      </w:pPr>
    </w:p>
    <w:p w14:paraId="43520F28" w14:textId="77777777" w:rsidR="00E5309E" w:rsidRDefault="00E5309E">
      <w:pPr>
        <w:pageBreakBefore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E5309E" w14:paraId="6D700639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6E3CBE"/>
            <w:tcMar>
              <w:top w:w="120" w:type="dxa"/>
              <w:left w:w="120" w:type="dxa"/>
              <w:bottom w:w="120" w:type="dxa"/>
              <w:right w:w="80" w:type="dxa"/>
            </w:tcMar>
            <w:vAlign w:val="center"/>
          </w:tcPr>
          <w:p w14:paraId="3E1C4141" w14:textId="77777777" w:rsidR="00E5309E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08</w:t>
            </w:r>
          </w:p>
        </w:tc>
        <w:tc>
          <w:tcPr>
            <w:tcW w:w="8760" w:type="dxa"/>
            <w:tcBorders>
              <w:top w:val="none" w:sz="0" w:space="0" w:color="FFFFFF"/>
              <w:left w:val="single" w:sz="2" w:space="0" w:color="6E3CBE"/>
              <w:bottom w:val="none" w:sz="0" w:space="0" w:color="FFFFFF"/>
              <w:right w:val="none" w:sz="0" w:space="0" w:color="FFFFFF"/>
            </w:tcBorders>
            <w:shd w:val="clear" w:color="auto" w:fill="282828"/>
            <w:tcMar>
              <w:top w:w="120" w:type="dxa"/>
              <w:left w:w="200" w:type="dxa"/>
              <w:bottom w:w="120" w:type="dxa"/>
              <w:right w:w="120" w:type="dxa"/>
            </w:tcMar>
          </w:tcPr>
          <w:p w14:paraId="5D003EA4" w14:textId="77777777" w:rsidR="00E5309E" w:rsidRDefault="00000000">
            <w:r>
              <w:rPr>
                <w:b/>
                <w:bCs/>
                <w:color w:val="FFFFFF"/>
                <w:sz w:val="30"/>
                <w:szCs w:val="30"/>
              </w:rPr>
              <w:t>Accessibility Requirements</w:t>
            </w:r>
          </w:p>
        </w:tc>
      </w:tr>
    </w:tbl>
    <w:p w14:paraId="7DABA114" w14:textId="77777777" w:rsidR="00E5309E" w:rsidRDefault="00E5309E">
      <w:pPr>
        <w:spacing w:before="80" w:after="80"/>
      </w:pPr>
    </w:p>
    <w:p w14:paraId="3C4F7D84" w14:textId="3FB59C7C" w:rsidR="00E5309E" w:rsidRDefault="00000000">
      <w:pPr>
        <w:spacing w:before="60" w:after="60"/>
      </w:pPr>
      <w:r>
        <w:t xml:space="preserve">All dashboards must comply with WCAG 2.1 Level AA. The </w:t>
      </w:r>
      <w:r w:rsidR="00BB0CFE">
        <w:t>Test Company</w:t>
      </w:r>
      <w:r>
        <w:t xml:space="preserve"> Brand Hub explicitly references this standard. The following rules are mandatory.</w:t>
      </w:r>
    </w:p>
    <w:p w14:paraId="508F1787" w14:textId="77777777" w:rsidR="00E5309E" w:rsidRDefault="00E5309E">
      <w:pPr>
        <w:spacing w:before="80" w:after="80"/>
      </w:pPr>
    </w:p>
    <w:p w14:paraId="1C86896F" w14:textId="77777777" w:rsidR="00E5309E" w:rsidRDefault="00000000">
      <w:pPr>
        <w:pStyle w:val="Heading3"/>
      </w:pPr>
      <w:r>
        <w:t>Contrast Ratios — Approved Combinations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0"/>
        <w:gridCol w:w="2200"/>
        <w:gridCol w:w="1600"/>
        <w:gridCol w:w="1600"/>
        <w:gridCol w:w="1760"/>
      </w:tblGrid>
      <w:tr w:rsidR="00E5309E" w14:paraId="61822A77" w14:textId="77777777"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82828"/>
            <w:tcMar>
              <w:top w:w="80" w:type="dxa"/>
              <w:left w:w="100" w:type="dxa"/>
              <w:bottom w:w="80" w:type="dxa"/>
              <w:right w:w="80" w:type="dxa"/>
            </w:tcMar>
          </w:tcPr>
          <w:p w14:paraId="705336AC" w14:textId="732F90E4" w:rsidR="00E5309E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7"/>
                <w:szCs w:val="17"/>
              </w:rPr>
              <w:t xml:space="preserve">Text </w:t>
            </w:r>
            <w:r w:rsidR="00BD68BB">
              <w:rPr>
                <w:b/>
                <w:bCs/>
                <w:color w:val="FFFFFF"/>
                <w:sz w:val="17"/>
                <w:szCs w:val="17"/>
              </w:rPr>
              <w:t>Color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8282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54C09" w14:textId="77777777" w:rsidR="00E5309E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7"/>
                <w:szCs w:val="17"/>
              </w:rPr>
              <w:t>Background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8282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22D04F" w14:textId="77777777" w:rsidR="00E5309E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7"/>
                <w:szCs w:val="17"/>
              </w:rPr>
              <w:t>Ratio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8282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9E34C6" w14:textId="77777777" w:rsidR="00E5309E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7"/>
                <w:szCs w:val="17"/>
              </w:rPr>
              <w:t>AA Status</w:t>
            </w:r>
          </w:p>
        </w:tc>
        <w:tc>
          <w:tcPr>
            <w:tcW w:w="1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8282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B741C" w14:textId="77777777" w:rsidR="00E5309E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7"/>
                <w:szCs w:val="17"/>
              </w:rPr>
              <w:t>Notes</w:t>
            </w:r>
          </w:p>
        </w:tc>
      </w:tr>
      <w:tr w:rsidR="00E5309E" w14:paraId="3A1B9D1C" w14:textId="77777777"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9A3FE55" w14:textId="77777777" w:rsidR="00E5309E" w:rsidRDefault="00000000">
            <w:pPr>
              <w:spacing w:before="60" w:after="60"/>
            </w:pPr>
            <w:r>
              <w:rPr>
                <w:sz w:val="17"/>
                <w:szCs w:val="17"/>
              </w:rPr>
              <w:t>Dark Grey #282828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60DA53" w14:textId="77777777" w:rsidR="00E5309E" w:rsidRDefault="00000000">
            <w:pPr>
              <w:spacing w:before="60" w:after="60"/>
            </w:pPr>
            <w:r>
              <w:rPr>
                <w:sz w:val="17"/>
                <w:szCs w:val="17"/>
              </w:rPr>
              <w:t>White #FFFFFF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A454A8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sz w:val="17"/>
                <w:szCs w:val="17"/>
              </w:rPr>
              <w:t>16.75:1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C5074D7" w14:textId="77777777" w:rsidR="00E5309E" w:rsidRDefault="00000000">
            <w:pPr>
              <w:spacing w:before="60" w:after="60"/>
            </w:pPr>
            <w:r>
              <w:rPr>
                <w:b/>
                <w:bCs/>
                <w:color w:val="00B176"/>
                <w:sz w:val="17"/>
                <w:szCs w:val="17"/>
              </w:rPr>
              <w:t>✓ PASS</w:t>
            </w:r>
          </w:p>
        </w:tc>
        <w:tc>
          <w:tcPr>
            <w:tcW w:w="17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59F44B5" w14:textId="77777777" w:rsidR="00E5309E" w:rsidRDefault="00000000">
            <w:pPr>
              <w:spacing w:before="60" w:after="60"/>
            </w:pPr>
            <w:r>
              <w:rPr>
                <w:color w:val="7E7E7E"/>
                <w:sz w:val="16"/>
                <w:szCs w:val="16"/>
              </w:rPr>
              <w:t>All text uses</w:t>
            </w:r>
          </w:p>
        </w:tc>
      </w:tr>
      <w:tr w:rsidR="00E5309E" w14:paraId="5FB839FA" w14:textId="77777777"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50670E57" w14:textId="77777777" w:rsidR="00E5309E" w:rsidRDefault="00000000">
            <w:pPr>
              <w:spacing w:before="60" w:after="60"/>
            </w:pPr>
            <w:r>
              <w:rPr>
                <w:sz w:val="17"/>
                <w:szCs w:val="17"/>
              </w:rPr>
              <w:t>Dark Grey #282828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9E1146" w14:textId="77777777" w:rsidR="00E5309E" w:rsidRDefault="00000000">
            <w:pPr>
              <w:spacing w:before="60" w:after="60"/>
            </w:pPr>
            <w:r>
              <w:rPr>
                <w:sz w:val="17"/>
                <w:szCs w:val="17"/>
              </w:rPr>
              <w:t>Light Grey #F2F2F2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70972F5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sz w:val="17"/>
                <w:szCs w:val="17"/>
              </w:rPr>
              <w:t>15.1:1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8C1A9D" w14:textId="77777777" w:rsidR="00E5309E" w:rsidRDefault="00000000">
            <w:pPr>
              <w:spacing w:before="60" w:after="60"/>
            </w:pPr>
            <w:r>
              <w:rPr>
                <w:b/>
                <w:bCs/>
                <w:color w:val="00B176"/>
                <w:sz w:val="17"/>
                <w:szCs w:val="17"/>
              </w:rPr>
              <w:t>✓ PASS</w:t>
            </w:r>
          </w:p>
        </w:tc>
        <w:tc>
          <w:tcPr>
            <w:tcW w:w="17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9E5CB61" w14:textId="77777777" w:rsidR="00E5309E" w:rsidRDefault="00000000">
            <w:pPr>
              <w:spacing w:before="60" w:after="60"/>
            </w:pPr>
            <w:r>
              <w:rPr>
                <w:color w:val="7E7E7E"/>
                <w:sz w:val="16"/>
                <w:szCs w:val="16"/>
              </w:rPr>
              <w:t>Body text, labels</w:t>
            </w:r>
          </w:p>
        </w:tc>
      </w:tr>
      <w:tr w:rsidR="00E5309E" w14:paraId="23BE0D79" w14:textId="77777777"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399521AF" w14:textId="77777777" w:rsidR="00E5309E" w:rsidRDefault="00000000">
            <w:pPr>
              <w:spacing w:before="60" w:after="60"/>
            </w:pPr>
            <w:r>
              <w:rPr>
                <w:sz w:val="17"/>
                <w:szCs w:val="17"/>
              </w:rPr>
              <w:t>White #FFFFFF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93A05B3" w14:textId="77777777" w:rsidR="00E5309E" w:rsidRDefault="00000000">
            <w:pPr>
              <w:spacing w:before="60" w:after="60"/>
            </w:pPr>
            <w:r>
              <w:rPr>
                <w:sz w:val="17"/>
                <w:szCs w:val="17"/>
              </w:rPr>
              <w:t>Dark Grey #282828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F976AD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sz w:val="17"/>
                <w:szCs w:val="17"/>
              </w:rPr>
              <w:t>16.75:1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4A8BBC" w14:textId="77777777" w:rsidR="00E5309E" w:rsidRDefault="00000000">
            <w:pPr>
              <w:spacing w:before="60" w:after="60"/>
            </w:pPr>
            <w:r>
              <w:rPr>
                <w:b/>
                <w:bCs/>
                <w:color w:val="00B176"/>
                <w:sz w:val="17"/>
                <w:szCs w:val="17"/>
              </w:rPr>
              <w:t>✓ PASS</w:t>
            </w:r>
          </w:p>
        </w:tc>
        <w:tc>
          <w:tcPr>
            <w:tcW w:w="17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8DF90AD" w14:textId="77777777" w:rsidR="00E5309E" w:rsidRDefault="00000000">
            <w:pPr>
              <w:spacing w:before="60" w:after="60"/>
            </w:pPr>
            <w:r>
              <w:rPr>
                <w:color w:val="7E7E7E"/>
                <w:sz w:val="16"/>
                <w:szCs w:val="16"/>
              </w:rPr>
              <w:t>Nav, table headers</w:t>
            </w:r>
          </w:p>
        </w:tc>
      </w:tr>
      <w:tr w:rsidR="00E5309E" w14:paraId="0249EC70" w14:textId="77777777"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D179F84" w14:textId="77777777" w:rsidR="00E5309E" w:rsidRDefault="00000000">
            <w:pPr>
              <w:spacing w:before="60" w:after="60"/>
            </w:pPr>
            <w:r>
              <w:rPr>
                <w:sz w:val="17"/>
                <w:szCs w:val="17"/>
              </w:rPr>
              <w:t>Purple #6E3CBE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4F6C83" w14:textId="77777777" w:rsidR="00E5309E" w:rsidRDefault="00000000">
            <w:pPr>
              <w:spacing w:before="60" w:after="60"/>
            </w:pPr>
            <w:r>
              <w:rPr>
                <w:sz w:val="17"/>
                <w:szCs w:val="17"/>
              </w:rPr>
              <w:t>White #FFFFFF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802A418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sz w:val="17"/>
                <w:szCs w:val="17"/>
              </w:rPr>
              <w:t>5.89:1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5E2A00" w14:textId="77777777" w:rsidR="00E5309E" w:rsidRDefault="00000000">
            <w:pPr>
              <w:spacing w:before="60" w:after="60"/>
            </w:pPr>
            <w:r>
              <w:rPr>
                <w:b/>
                <w:bCs/>
                <w:color w:val="00B176"/>
                <w:sz w:val="17"/>
                <w:szCs w:val="17"/>
              </w:rPr>
              <w:t>✓ PASS</w:t>
            </w:r>
          </w:p>
        </w:tc>
        <w:tc>
          <w:tcPr>
            <w:tcW w:w="17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7E1073" w14:textId="77777777" w:rsidR="00E5309E" w:rsidRDefault="00000000">
            <w:pPr>
              <w:spacing w:before="60" w:after="60"/>
            </w:pPr>
            <w:r>
              <w:rPr>
                <w:color w:val="7E7E7E"/>
                <w:sz w:val="16"/>
                <w:szCs w:val="16"/>
              </w:rPr>
              <w:t>KPI values, links</w:t>
            </w:r>
          </w:p>
        </w:tc>
      </w:tr>
      <w:tr w:rsidR="00E5309E" w14:paraId="579830ED" w14:textId="77777777"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900444D" w14:textId="77777777" w:rsidR="00E5309E" w:rsidRDefault="00000000">
            <w:pPr>
              <w:spacing w:before="60" w:after="60"/>
            </w:pPr>
            <w:r>
              <w:rPr>
                <w:sz w:val="17"/>
                <w:szCs w:val="17"/>
              </w:rPr>
              <w:t>Purple #6E3CBE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491FFB" w14:textId="77777777" w:rsidR="00E5309E" w:rsidRDefault="00000000">
            <w:pPr>
              <w:spacing w:before="60" w:after="60"/>
            </w:pPr>
            <w:r>
              <w:rPr>
                <w:sz w:val="17"/>
                <w:szCs w:val="17"/>
              </w:rPr>
              <w:t>Light Grey #F2F2F2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25CC123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sz w:val="17"/>
                <w:szCs w:val="17"/>
              </w:rPr>
              <w:t>5.3:1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B6A5D90" w14:textId="77777777" w:rsidR="00E5309E" w:rsidRDefault="00000000">
            <w:pPr>
              <w:spacing w:before="60" w:after="60"/>
            </w:pPr>
            <w:r>
              <w:rPr>
                <w:b/>
                <w:bCs/>
                <w:color w:val="00B176"/>
                <w:sz w:val="17"/>
                <w:szCs w:val="17"/>
              </w:rPr>
              <w:t>✓ PASS</w:t>
            </w:r>
          </w:p>
        </w:tc>
        <w:tc>
          <w:tcPr>
            <w:tcW w:w="17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945545" w14:textId="77777777" w:rsidR="00E5309E" w:rsidRDefault="00000000">
            <w:pPr>
              <w:spacing w:before="60" w:after="60"/>
            </w:pPr>
            <w:r>
              <w:rPr>
                <w:color w:val="7E7E7E"/>
                <w:sz w:val="16"/>
                <w:szCs w:val="16"/>
              </w:rPr>
              <w:t xml:space="preserve">Labels on grey </w:t>
            </w:r>
            <w:proofErr w:type="spellStart"/>
            <w:r>
              <w:rPr>
                <w:color w:val="7E7E7E"/>
                <w:sz w:val="16"/>
                <w:szCs w:val="16"/>
              </w:rPr>
              <w:t>bg</w:t>
            </w:r>
            <w:proofErr w:type="spellEnd"/>
          </w:p>
        </w:tc>
      </w:tr>
      <w:tr w:rsidR="00E5309E" w14:paraId="015007DA" w14:textId="77777777"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0499CD6B" w14:textId="77777777" w:rsidR="00E5309E" w:rsidRDefault="00000000">
            <w:pPr>
              <w:spacing w:before="60" w:after="60"/>
            </w:pPr>
            <w:r>
              <w:rPr>
                <w:sz w:val="17"/>
                <w:szCs w:val="17"/>
              </w:rPr>
              <w:t>Blue #0A9BCD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6A22C4" w14:textId="77777777" w:rsidR="00E5309E" w:rsidRDefault="00000000">
            <w:pPr>
              <w:spacing w:before="60" w:after="60"/>
            </w:pPr>
            <w:r>
              <w:rPr>
                <w:sz w:val="17"/>
                <w:szCs w:val="17"/>
              </w:rPr>
              <w:t>Dark Grey #282828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C48913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sz w:val="17"/>
                <w:szCs w:val="17"/>
              </w:rPr>
              <w:t>3.84:1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BCB8FDD" w14:textId="77777777" w:rsidR="00E5309E" w:rsidRDefault="00000000">
            <w:pPr>
              <w:spacing w:before="60" w:after="60"/>
            </w:pPr>
            <w:r>
              <w:rPr>
                <w:b/>
                <w:bCs/>
                <w:color w:val="00B176"/>
                <w:sz w:val="17"/>
                <w:szCs w:val="17"/>
              </w:rPr>
              <w:t>✓ PASS (large)</w:t>
            </w:r>
          </w:p>
        </w:tc>
        <w:tc>
          <w:tcPr>
            <w:tcW w:w="17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B5B1C0D" w14:textId="77777777" w:rsidR="00E5309E" w:rsidRDefault="00000000">
            <w:pPr>
              <w:spacing w:before="60" w:after="60"/>
            </w:pPr>
            <w:r>
              <w:rPr>
                <w:color w:val="7E7E7E"/>
                <w:sz w:val="16"/>
                <w:szCs w:val="16"/>
              </w:rPr>
              <w:t>Large text only</w:t>
            </w:r>
          </w:p>
        </w:tc>
      </w:tr>
      <w:tr w:rsidR="00E5309E" w14:paraId="3D24FD3F" w14:textId="77777777"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7649E399" w14:textId="77777777" w:rsidR="00E5309E" w:rsidRDefault="00000000">
            <w:pPr>
              <w:spacing w:before="60" w:after="60"/>
            </w:pPr>
            <w:r>
              <w:rPr>
                <w:sz w:val="17"/>
                <w:szCs w:val="17"/>
              </w:rPr>
              <w:t>Blue #0A9BCD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AD67A3" w14:textId="77777777" w:rsidR="00E5309E" w:rsidRDefault="00000000">
            <w:pPr>
              <w:spacing w:before="60" w:after="60"/>
            </w:pPr>
            <w:r>
              <w:rPr>
                <w:sz w:val="17"/>
                <w:szCs w:val="17"/>
              </w:rPr>
              <w:t>White #FFFFFF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66D8B65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sz w:val="17"/>
                <w:szCs w:val="17"/>
              </w:rPr>
              <w:t>3.0:1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389577E" w14:textId="77777777" w:rsidR="00E5309E" w:rsidRDefault="00000000">
            <w:pPr>
              <w:spacing w:before="60" w:after="60"/>
            </w:pPr>
            <w:r>
              <w:rPr>
                <w:b/>
                <w:bCs/>
                <w:color w:val="F06400"/>
                <w:sz w:val="17"/>
                <w:szCs w:val="17"/>
              </w:rPr>
              <w:t>✗ FAIL</w:t>
            </w:r>
          </w:p>
        </w:tc>
        <w:tc>
          <w:tcPr>
            <w:tcW w:w="17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6EE4049" w14:textId="77777777" w:rsidR="00E5309E" w:rsidRDefault="00000000">
            <w:pPr>
              <w:spacing w:before="60" w:after="60"/>
            </w:pPr>
            <w:r>
              <w:rPr>
                <w:color w:val="7E7E7E"/>
                <w:sz w:val="16"/>
                <w:szCs w:val="16"/>
              </w:rPr>
              <w:t xml:space="preserve">Do not </w:t>
            </w:r>
            <w:proofErr w:type="gramStart"/>
            <w:r>
              <w:rPr>
                <w:color w:val="7E7E7E"/>
                <w:sz w:val="16"/>
                <w:szCs w:val="16"/>
              </w:rPr>
              <w:t>use</w:t>
            </w:r>
            <w:proofErr w:type="gramEnd"/>
            <w:r>
              <w:rPr>
                <w:color w:val="7E7E7E"/>
                <w:sz w:val="16"/>
                <w:szCs w:val="16"/>
              </w:rPr>
              <w:t xml:space="preserve"> for text</w:t>
            </w:r>
          </w:p>
        </w:tc>
      </w:tr>
      <w:tr w:rsidR="00E5309E" w14:paraId="4B787033" w14:textId="77777777"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4F1433BA" w14:textId="77777777" w:rsidR="00E5309E" w:rsidRDefault="00000000">
            <w:pPr>
              <w:spacing w:before="60" w:after="60"/>
            </w:pPr>
            <w:r>
              <w:rPr>
                <w:sz w:val="17"/>
                <w:szCs w:val="17"/>
              </w:rPr>
              <w:t>Yellow #F5B400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11383E" w14:textId="77777777" w:rsidR="00E5309E" w:rsidRDefault="00000000">
            <w:pPr>
              <w:spacing w:before="60" w:after="60"/>
            </w:pPr>
            <w:r>
              <w:rPr>
                <w:sz w:val="17"/>
                <w:szCs w:val="17"/>
              </w:rPr>
              <w:t>White #FFFFFF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0A77BEB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sz w:val="17"/>
                <w:szCs w:val="17"/>
              </w:rPr>
              <w:t>1.99:1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498E3D" w14:textId="77777777" w:rsidR="00E5309E" w:rsidRDefault="00000000">
            <w:pPr>
              <w:spacing w:before="60" w:after="60"/>
            </w:pPr>
            <w:r>
              <w:rPr>
                <w:b/>
                <w:bCs/>
                <w:color w:val="F06400"/>
                <w:sz w:val="17"/>
                <w:szCs w:val="17"/>
              </w:rPr>
              <w:t>✗ FAIL</w:t>
            </w:r>
          </w:p>
        </w:tc>
        <w:tc>
          <w:tcPr>
            <w:tcW w:w="17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4E25F8D" w14:textId="77777777" w:rsidR="00E5309E" w:rsidRDefault="00000000">
            <w:pPr>
              <w:spacing w:before="60" w:after="60"/>
            </w:pPr>
            <w:r>
              <w:rPr>
                <w:color w:val="7E7E7E"/>
                <w:sz w:val="16"/>
                <w:szCs w:val="16"/>
              </w:rPr>
              <w:t>Fills only, not text</w:t>
            </w:r>
          </w:p>
        </w:tc>
      </w:tr>
      <w:tr w:rsidR="00E5309E" w14:paraId="3D557B3C" w14:textId="77777777"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66753568" w14:textId="77777777" w:rsidR="00E5309E" w:rsidRDefault="00000000">
            <w:pPr>
              <w:spacing w:before="60" w:after="60"/>
            </w:pPr>
            <w:r>
              <w:rPr>
                <w:sz w:val="17"/>
                <w:szCs w:val="17"/>
              </w:rPr>
              <w:t>Green #00B176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8ED1AA" w14:textId="77777777" w:rsidR="00E5309E" w:rsidRDefault="00000000">
            <w:pPr>
              <w:spacing w:before="60" w:after="60"/>
            </w:pPr>
            <w:r>
              <w:rPr>
                <w:sz w:val="17"/>
                <w:szCs w:val="17"/>
              </w:rPr>
              <w:t>Light Grey #F2F2F2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0E3C67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sz w:val="17"/>
                <w:szCs w:val="17"/>
              </w:rPr>
              <w:t>2.44:1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30067F" w14:textId="77777777" w:rsidR="00E5309E" w:rsidRDefault="00000000">
            <w:pPr>
              <w:spacing w:before="60" w:after="60"/>
            </w:pPr>
            <w:r>
              <w:rPr>
                <w:b/>
                <w:bCs/>
                <w:color w:val="F06400"/>
                <w:sz w:val="17"/>
                <w:szCs w:val="17"/>
              </w:rPr>
              <w:t>✗ FAIL</w:t>
            </w:r>
          </w:p>
        </w:tc>
        <w:tc>
          <w:tcPr>
            <w:tcW w:w="17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761021" w14:textId="77777777" w:rsidR="00E5309E" w:rsidRDefault="00000000">
            <w:pPr>
              <w:spacing w:before="60" w:after="60"/>
            </w:pPr>
            <w:r>
              <w:rPr>
                <w:color w:val="7E7E7E"/>
                <w:sz w:val="16"/>
                <w:szCs w:val="16"/>
              </w:rPr>
              <w:t xml:space="preserve">Use #282828 text on green </w:t>
            </w:r>
            <w:proofErr w:type="spellStart"/>
            <w:r>
              <w:rPr>
                <w:color w:val="7E7E7E"/>
                <w:sz w:val="16"/>
                <w:szCs w:val="16"/>
              </w:rPr>
              <w:t>bg</w:t>
            </w:r>
            <w:proofErr w:type="spellEnd"/>
          </w:p>
        </w:tc>
      </w:tr>
      <w:tr w:rsidR="00E5309E" w14:paraId="78ACFCC2" w14:textId="77777777"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100" w:type="dxa"/>
              <w:bottom w:w="60" w:type="dxa"/>
              <w:right w:w="80" w:type="dxa"/>
            </w:tcMar>
          </w:tcPr>
          <w:p w14:paraId="13657DF2" w14:textId="77777777" w:rsidR="00E5309E" w:rsidRDefault="00000000">
            <w:pPr>
              <w:spacing w:before="60" w:after="60"/>
            </w:pPr>
            <w:r>
              <w:rPr>
                <w:sz w:val="17"/>
                <w:szCs w:val="17"/>
              </w:rPr>
              <w:t>White #FFFFFF</w:t>
            </w:r>
          </w:p>
        </w:tc>
        <w:tc>
          <w:tcPr>
            <w:tcW w:w="22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9D7BE4" w14:textId="77777777" w:rsidR="00E5309E" w:rsidRDefault="00000000">
            <w:pPr>
              <w:spacing w:before="60" w:after="60"/>
            </w:pPr>
            <w:r>
              <w:rPr>
                <w:sz w:val="17"/>
                <w:szCs w:val="17"/>
              </w:rPr>
              <w:t>Purple #6E3CBE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FA69E8A" w14:textId="77777777" w:rsidR="00E5309E" w:rsidRDefault="00000000">
            <w:pPr>
              <w:spacing w:before="60" w:after="60"/>
            </w:pPr>
            <w:r>
              <w:rPr>
                <w:rFonts w:ascii="Courier New" w:eastAsia="Courier New" w:hAnsi="Courier New" w:cs="Courier New"/>
                <w:sz w:val="17"/>
                <w:szCs w:val="17"/>
              </w:rPr>
              <w:t>5.89:1</w:t>
            </w:r>
          </w:p>
        </w:tc>
        <w:tc>
          <w:tcPr>
            <w:tcW w:w="16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1CDD44" w14:textId="77777777" w:rsidR="00E5309E" w:rsidRDefault="00000000">
            <w:pPr>
              <w:spacing w:before="60" w:after="60"/>
            </w:pPr>
            <w:r>
              <w:rPr>
                <w:b/>
                <w:bCs/>
                <w:color w:val="00B176"/>
                <w:sz w:val="17"/>
                <w:szCs w:val="17"/>
              </w:rPr>
              <w:t>✓ PASS</w:t>
            </w:r>
          </w:p>
        </w:tc>
        <w:tc>
          <w:tcPr>
            <w:tcW w:w="17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6137F8" w14:textId="77777777" w:rsidR="00E5309E" w:rsidRDefault="00000000">
            <w:pPr>
              <w:spacing w:before="60" w:after="60"/>
            </w:pPr>
            <w:r>
              <w:rPr>
                <w:color w:val="7E7E7E"/>
                <w:sz w:val="16"/>
                <w:szCs w:val="16"/>
              </w:rPr>
              <w:t>White text on purple</w:t>
            </w:r>
          </w:p>
        </w:tc>
      </w:tr>
    </w:tbl>
    <w:p w14:paraId="1F698C40" w14:textId="77777777" w:rsidR="00E5309E" w:rsidRDefault="00E5309E">
      <w:pPr>
        <w:spacing w:before="80" w:after="80"/>
      </w:pPr>
    </w:p>
    <w:p w14:paraId="2F362AC6" w14:textId="77777777" w:rsidR="00E5309E" w:rsidRDefault="00000000">
      <w:pPr>
        <w:pStyle w:val="Heading3"/>
      </w:pPr>
      <w:r>
        <w:t>Additional Accessibility Rules</w:t>
      </w:r>
    </w:p>
    <w:p w14:paraId="4C13B842" w14:textId="641E906A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Never use </w:t>
      </w:r>
      <w:r w:rsidR="00BD68BB">
        <w:t>color</w:t>
      </w:r>
      <w:r>
        <w:t xml:space="preserve"> alone to convey meaning. Always pair with icon, label, or pattern.</w:t>
      </w:r>
    </w:p>
    <w:p w14:paraId="2B909D03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>Positive delta: Green + upward arrow symbol ▲ + text label</w:t>
      </w:r>
    </w:p>
    <w:p w14:paraId="65E4382E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>Negative delta: Orange + downward arrow symbol ▼ + text label</w:t>
      </w:r>
    </w:p>
    <w:p w14:paraId="7F4C3079" w14:textId="55261F7A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Use dashed vs solid line styles in addition to </w:t>
      </w:r>
      <w:r w:rsidR="00BD68BB">
        <w:t>color</w:t>
      </w:r>
      <w:r>
        <w:t xml:space="preserve"> for multi-series line charts</w:t>
      </w:r>
    </w:p>
    <w:p w14:paraId="28EC8426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>Minimum touch target size: 44 × 44px for interactive elements</w:t>
      </w:r>
    </w:p>
    <w:p w14:paraId="149678C1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All chart visuals must have </w:t>
      </w:r>
      <w:proofErr w:type="gramStart"/>
      <w:r>
        <w:t>alt</w:t>
      </w:r>
      <w:proofErr w:type="gramEnd"/>
      <w:r>
        <w:t xml:space="preserve"> text enabled in Power BI</w:t>
      </w:r>
    </w:p>
    <w:p w14:paraId="6BA33A82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>Data tables must be navigable via keyboard</w:t>
      </w:r>
    </w:p>
    <w:p w14:paraId="7008887B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Tooltips must have sufficient contrast — white </w:t>
      </w:r>
      <w:proofErr w:type="spellStart"/>
      <w:r>
        <w:t>bg</w:t>
      </w:r>
      <w:proofErr w:type="spellEnd"/>
      <w:r>
        <w:t xml:space="preserve"> (#FFFFFF), dark text (#282828)</w:t>
      </w:r>
    </w:p>
    <w:p w14:paraId="1268CF3F" w14:textId="77777777" w:rsidR="00E5309E" w:rsidRDefault="00E5309E">
      <w:pPr>
        <w:spacing w:before="80" w:after="80"/>
      </w:pPr>
    </w:p>
    <w:p w14:paraId="59E36167" w14:textId="77777777" w:rsidR="00E5309E" w:rsidRDefault="00E5309E">
      <w:pPr>
        <w:spacing w:before="80" w:after="80"/>
      </w:pPr>
    </w:p>
    <w:p w14:paraId="031C8B22" w14:textId="77777777" w:rsidR="00E5309E" w:rsidRDefault="00E5309E">
      <w:pPr>
        <w:pageBreakBefore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E5309E" w14:paraId="4565DF26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6E3CBE"/>
            <w:tcMar>
              <w:top w:w="120" w:type="dxa"/>
              <w:left w:w="120" w:type="dxa"/>
              <w:bottom w:w="120" w:type="dxa"/>
              <w:right w:w="80" w:type="dxa"/>
            </w:tcMar>
            <w:vAlign w:val="center"/>
          </w:tcPr>
          <w:p w14:paraId="79123B3D" w14:textId="77777777" w:rsidR="00E5309E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09</w:t>
            </w:r>
          </w:p>
        </w:tc>
        <w:tc>
          <w:tcPr>
            <w:tcW w:w="8760" w:type="dxa"/>
            <w:tcBorders>
              <w:top w:val="none" w:sz="0" w:space="0" w:color="FFFFFF"/>
              <w:left w:val="single" w:sz="2" w:space="0" w:color="6E3CBE"/>
              <w:bottom w:val="none" w:sz="0" w:space="0" w:color="FFFFFF"/>
              <w:right w:val="none" w:sz="0" w:space="0" w:color="FFFFFF"/>
            </w:tcBorders>
            <w:shd w:val="clear" w:color="auto" w:fill="282828"/>
            <w:tcMar>
              <w:top w:w="120" w:type="dxa"/>
              <w:left w:w="200" w:type="dxa"/>
              <w:bottom w:w="120" w:type="dxa"/>
              <w:right w:w="120" w:type="dxa"/>
            </w:tcMar>
          </w:tcPr>
          <w:p w14:paraId="4B779397" w14:textId="77777777" w:rsidR="00E5309E" w:rsidRDefault="00000000">
            <w:r>
              <w:rPr>
                <w:b/>
                <w:bCs/>
                <w:color w:val="FFFFFF"/>
                <w:sz w:val="30"/>
                <w:szCs w:val="30"/>
              </w:rPr>
              <w:t>Dashboard Design Directions</w:t>
            </w:r>
          </w:p>
        </w:tc>
      </w:tr>
    </w:tbl>
    <w:p w14:paraId="702E7FBB" w14:textId="77777777" w:rsidR="00E5309E" w:rsidRDefault="00E5309E">
      <w:pPr>
        <w:spacing w:before="80" w:after="80"/>
      </w:pPr>
    </w:p>
    <w:p w14:paraId="42E71B59" w14:textId="1D132F41" w:rsidR="00E5309E" w:rsidRDefault="00000000">
      <w:pPr>
        <w:spacing w:before="60" w:after="60"/>
      </w:pPr>
      <w:r>
        <w:t xml:space="preserve">Five formally defined design directions are approved for use. Each serves a distinct purpose and audience. All five comply with the </w:t>
      </w:r>
      <w:r w:rsidR="00BB0CFE">
        <w:t>Test Company</w:t>
      </w:r>
      <w:r>
        <w:t xml:space="preserve"> brand system.</w:t>
      </w:r>
    </w:p>
    <w:p w14:paraId="37110D42" w14:textId="77777777" w:rsidR="00E5309E" w:rsidRDefault="00E5309E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2000"/>
        <w:gridCol w:w="3000"/>
        <w:gridCol w:w="3160"/>
      </w:tblGrid>
      <w:tr w:rsidR="00E5309E" w14:paraId="1A7DA33A" w14:textId="77777777"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8282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67458" w14:textId="77777777" w:rsidR="00E5309E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7"/>
                <w:szCs w:val="17"/>
              </w:rPr>
              <w:t>Direction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8282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A25DD" w14:textId="77777777" w:rsidR="00E5309E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7"/>
                <w:szCs w:val="17"/>
              </w:rPr>
              <w:t>Primary Audience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8282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B7D93" w14:textId="77777777" w:rsidR="00E5309E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7"/>
                <w:szCs w:val="17"/>
              </w:rPr>
              <w:t>Design Characteristics</w:t>
            </w:r>
          </w:p>
        </w:tc>
        <w:tc>
          <w:tcPr>
            <w:tcW w:w="31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8282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D7EFD" w14:textId="77777777" w:rsidR="00E5309E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7"/>
                <w:szCs w:val="17"/>
              </w:rPr>
              <w:t>When to Use</w:t>
            </w:r>
          </w:p>
        </w:tc>
      </w:tr>
      <w:tr w:rsidR="00E5309E" w14:paraId="1D0E57F2" w14:textId="77777777"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shd w:val="clear" w:color="auto" w:fill="28282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BB073" w14:textId="77777777" w:rsidR="00E5309E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7"/>
                <w:szCs w:val="17"/>
              </w:rPr>
              <w:t>Executive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D1773" w14:textId="77777777" w:rsidR="00E5309E" w:rsidRDefault="00000000">
            <w:pPr>
              <w:spacing w:before="60" w:after="60"/>
            </w:pPr>
            <w:r>
              <w:rPr>
                <w:sz w:val="17"/>
                <w:szCs w:val="17"/>
              </w:rPr>
              <w:t>C-Suite, Board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9714A" w14:textId="368FF870" w:rsidR="00E5309E" w:rsidRDefault="00000000">
            <w:pPr>
              <w:spacing w:before="60" w:after="60"/>
            </w:pPr>
            <w:r>
              <w:rPr>
                <w:color w:val="7E7E7E"/>
                <w:sz w:val="16"/>
                <w:szCs w:val="16"/>
              </w:rPr>
              <w:t xml:space="preserve">Max 4 KPIs, 1 hero chart, large typography, heavy white space. Minimal accent </w:t>
            </w:r>
            <w:r w:rsidR="00BD68BB">
              <w:rPr>
                <w:color w:val="7E7E7E"/>
                <w:sz w:val="16"/>
                <w:szCs w:val="16"/>
              </w:rPr>
              <w:t>color</w:t>
            </w:r>
            <w:r>
              <w:rPr>
                <w:color w:val="7E7E7E"/>
                <w:sz w:val="16"/>
                <w:szCs w:val="16"/>
              </w:rPr>
              <w:t>.</w:t>
            </w:r>
          </w:p>
        </w:tc>
        <w:tc>
          <w:tcPr>
            <w:tcW w:w="31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DC0DE8" w14:textId="77777777" w:rsidR="00E5309E" w:rsidRDefault="00000000">
            <w:pPr>
              <w:spacing w:before="60" w:after="60"/>
            </w:pPr>
            <w:r>
              <w:rPr>
                <w:sz w:val="16"/>
                <w:szCs w:val="16"/>
              </w:rPr>
              <w:t>Board reviews, CEO briefings, weekly exec summaries.</w:t>
            </w:r>
          </w:p>
        </w:tc>
      </w:tr>
      <w:tr w:rsidR="00E5309E" w14:paraId="7E1440AC" w14:textId="77777777"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shd w:val="clear" w:color="auto" w:fill="6E3CB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0B083" w14:textId="77777777" w:rsidR="00E5309E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7"/>
                <w:szCs w:val="17"/>
              </w:rPr>
              <w:t>Analytical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906404" w14:textId="77777777" w:rsidR="00E5309E" w:rsidRDefault="00000000">
            <w:pPr>
              <w:spacing w:before="60" w:after="60"/>
            </w:pPr>
            <w:r>
              <w:rPr>
                <w:sz w:val="17"/>
                <w:szCs w:val="17"/>
              </w:rPr>
              <w:t>Finance, BI Analysts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99971" w14:textId="77777777" w:rsidR="00E5309E" w:rsidRDefault="00000000">
            <w:pPr>
              <w:spacing w:before="60" w:after="60"/>
            </w:pPr>
            <w:r>
              <w:rPr>
                <w:color w:val="7E7E7E"/>
                <w:sz w:val="16"/>
                <w:szCs w:val="16"/>
              </w:rPr>
              <w:t>High density, matrix tables, small multiples, 9-10pt labels. Full palette.</w:t>
            </w:r>
          </w:p>
        </w:tc>
        <w:tc>
          <w:tcPr>
            <w:tcW w:w="31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02911" w14:textId="77777777" w:rsidR="00E5309E" w:rsidRDefault="00000000">
            <w:pPr>
              <w:spacing w:before="60" w:after="60"/>
            </w:pPr>
            <w:r>
              <w:rPr>
                <w:sz w:val="16"/>
                <w:szCs w:val="16"/>
              </w:rPr>
              <w:t>Variance deep-dives, budget analysis, FP&amp;A workbooks.</w:t>
            </w:r>
          </w:p>
        </w:tc>
      </w:tr>
      <w:tr w:rsidR="00E5309E" w14:paraId="6D089CD8" w14:textId="77777777"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shd w:val="clear" w:color="auto" w:fill="0A9BC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212F9" w14:textId="77777777" w:rsidR="00E5309E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7"/>
                <w:szCs w:val="17"/>
              </w:rPr>
              <w:t>Operational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9ECA79" w14:textId="77777777" w:rsidR="00E5309E" w:rsidRDefault="00000000">
            <w:pPr>
              <w:spacing w:before="60" w:after="60"/>
            </w:pPr>
            <w:r>
              <w:rPr>
                <w:sz w:val="17"/>
                <w:szCs w:val="17"/>
              </w:rPr>
              <w:t>Ops Managers, Service Teams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A7301" w14:textId="77777777" w:rsidR="00E5309E" w:rsidRDefault="00000000">
            <w:pPr>
              <w:spacing w:before="60" w:after="60"/>
            </w:pPr>
            <w:r>
              <w:rPr>
                <w:color w:val="7E7E7E"/>
                <w:sz w:val="16"/>
                <w:szCs w:val="16"/>
              </w:rPr>
              <w:t>KPI scorecard gauges, SLA tracking, live tables, alert badges.</w:t>
            </w:r>
          </w:p>
        </w:tc>
        <w:tc>
          <w:tcPr>
            <w:tcW w:w="31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AAA855" w14:textId="77777777" w:rsidR="00E5309E" w:rsidRDefault="00000000">
            <w:pPr>
              <w:spacing w:before="60" w:after="60"/>
            </w:pPr>
            <w:r>
              <w:rPr>
                <w:sz w:val="16"/>
                <w:szCs w:val="16"/>
              </w:rPr>
              <w:t>Daily operations, service desk, SLA monitoring.</w:t>
            </w:r>
          </w:p>
        </w:tc>
      </w:tr>
      <w:tr w:rsidR="00E5309E" w14:paraId="1B8C36C9" w14:textId="77777777"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shd w:val="clear" w:color="auto" w:fill="F5B4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5EDBF" w14:textId="77777777" w:rsidR="00E5309E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7"/>
                <w:szCs w:val="17"/>
              </w:rPr>
              <w:t>Narrative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EAC28" w14:textId="77777777" w:rsidR="00E5309E" w:rsidRDefault="00000000">
            <w:pPr>
              <w:spacing w:before="60" w:after="60"/>
            </w:pPr>
            <w:r>
              <w:rPr>
                <w:sz w:val="17"/>
                <w:szCs w:val="17"/>
              </w:rPr>
              <w:t>Marketing, Strategy, Comms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F2012" w14:textId="77777777" w:rsidR="00E5309E" w:rsidRDefault="00000000">
            <w:pPr>
              <w:spacing w:before="60" w:after="60"/>
            </w:pPr>
            <w:r>
              <w:rPr>
                <w:color w:val="7E7E7E"/>
                <w:sz w:val="16"/>
                <w:szCs w:val="16"/>
              </w:rPr>
              <w:t>Story-driven flow, large callout numbers, minimal chart labels.</w:t>
            </w:r>
          </w:p>
        </w:tc>
        <w:tc>
          <w:tcPr>
            <w:tcW w:w="31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E2C74" w14:textId="77777777" w:rsidR="00E5309E" w:rsidRDefault="00000000">
            <w:pPr>
              <w:spacing w:before="60" w:after="60"/>
            </w:pPr>
            <w:r>
              <w:rPr>
                <w:sz w:val="16"/>
                <w:szCs w:val="16"/>
              </w:rPr>
              <w:t>Presentations, all-hands, stakeholder reports.</w:t>
            </w:r>
          </w:p>
        </w:tc>
      </w:tr>
      <w:tr w:rsidR="00E5309E" w14:paraId="06C457C4" w14:textId="77777777">
        <w:tc>
          <w:tcPr>
            <w:tcW w:w="12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shd w:val="clear" w:color="auto" w:fill="28282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E6BEC" w14:textId="77777777" w:rsidR="00E5309E" w:rsidRDefault="00000000">
            <w:pPr>
              <w:spacing w:before="60" w:after="60"/>
            </w:pPr>
            <w:r>
              <w:rPr>
                <w:b/>
                <w:bCs/>
                <w:color w:val="FFFFFF"/>
                <w:sz w:val="17"/>
                <w:szCs w:val="17"/>
              </w:rPr>
              <w:t>Dark Mode</w:t>
            </w:r>
          </w:p>
        </w:tc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F31B3" w14:textId="77777777" w:rsidR="00E5309E" w:rsidRDefault="00000000">
            <w:pPr>
              <w:spacing w:before="60" w:after="60"/>
            </w:pPr>
            <w:r>
              <w:rPr>
                <w:sz w:val="17"/>
                <w:szCs w:val="17"/>
              </w:rPr>
              <w:t>Wallboards, Presentations</w:t>
            </w:r>
          </w:p>
        </w:tc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26856" w14:textId="00BCE521" w:rsidR="00E5309E" w:rsidRDefault="00000000">
            <w:pPr>
              <w:spacing w:before="60" w:after="60"/>
            </w:pPr>
            <w:r>
              <w:rPr>
                <w:color w:val="7E7E7E"/>
                <w:sz w:val="16"/>
                <w:szCs w:val="16"/>
              </w:rPr>
              <w:t xml:space="preserve">Dark </w:t>
            </w:r>
            <w:proofErr w:type="gramStart"/>
            <w:r>
              <w:rPr>
                <w:color w:val="7E7E7E"/>
                <w:sz w:val="16"/>
                <w:szCs w:val="16"/>
              </w:rPr>
              <w:t>Grey (#</w:t>
            </w:r>
            <w:proofErr w:type="gramEnd"/>
            <w:r>
              <w:rPr>
                <w:color w:val="7E7E7E"/>
                <w:sz w:val="16"/>
                <w:szCs w:val="16"/>
              </w:rPr>
              <w:t xml:space="preserve">282828) or near-black canvas, vibrant </w:t>
            </w:r>
            <w:r w:rsidR="00BB0CFE">
              <w:rPr>
                <w:color w:val="7E7E7E"/>
                <w:sz w:val="16"/>
                <w:szCs w:val="16"/>
              </w:rPr>
              <w:t>Test Company</w:t>
            </w:r>
            <w:r>
              <w:rPr>
                <w:color w:val="7E7E7E"/>
                <w:sz w:val="16"/>
                <w:szCs w:val="16"/>
              </w:rPr>
              <w:t xml:space="preserve"> accent </w:t>
            </w:r>
            <w:r w:rsidR="00BD68BB">
              <w:rPr>
                <w:color w:val="7E7E7E"/>
                <w:sz w:val="16"/>
                <w:szCs w:val="16"/>
              </w:rPr>
              <w:t>color</w:t>
            </w:r>
            <w:r>
              <w:rPr>
                <w:color w:val="7E7E7E"/>
                <w:sz w:val="16"/>
                <w:szCs w:val="16"/>
              </w:rPr>
              <w:t>s.</w:t>
            </w:r>
          </w:p>
        </w:tc>
        <w:tc>
          <w:tcPr>
            <w:tcW w:w="3160" w:type="dxa"/>
            <w:tcBorders>
              <w:top w:val="none" w:sz="0" w:space="0" w:color="FFFFFF"/>
              <w:left w:val="none" w:sz="0" w:space="0" w:color="FFFFFF"/>
              <w:bottom w:val="single" w:sz="1" w:space="0" w:color="DDDDDD"/>
              <w:right w:val="none" w:sz="0" w:space="0" w:color="FFFFFF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96996" w14:textId="77777777" w:rsidR="00E5309E" w:rsidRDefault="00000000">
            <w:pPr>
              <w:spacing w:before="60" w:after="60"/>
            </w:pPr>
            <w:r>
              <w:rPr>
                <w:sz w:val="16"/>
                <w:szCs w:val="16"/>
              </w:rPr>
              <w:t>NOC walls, boardroom display, sales floor screens.</w:t>
            </w:r>
          </w:p>
        </w:tc>
      </w:tr>
    </w:tbl>
    <w:p w14:paraId="3567BD7D" w14:textId="77777777" w:rsidR="00E5309E" w:rsidRDefault="00E5309E">
      <w:pPr>
        <w:spacing w:before="80" w:after="80"/>
      </w:pPr>
    </w:p>
    <w:p w14:paraId="67DD4298" w14:textId="77777777" w:rsidR="00E5309E" w:rsidRDefault="00E5309E">
      <w:pPr>
        <w:spacing w:before="80" w:after="80"/>
      </w:pPr>
    </w:p>
    <w:p w14:paraId="2E50A76C" w14:textId="77777777" w:rsidR="00E5309E" w:rsidRDefault="00E5309E">
      <w:pPr>
        <w:pageBreakBefore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E5309E" w14:paraId="5870AC59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6E3CBE"/>
            <w:tcMar>
              <w:top w:w="120" w:type="dxa"/>
              <w:left w:w="120" w:type="dxa"/>
              <w:bottom w:w="120" w:type="dxa"/>
              <w:right w:w="80" w:type="dxa"/>
            </w:tcMar>
            <w:vAlign w:val="center"/>
          </w:tcPr>
          <w:p w14:paraId="6733AAC8" w14:textId="77777777" w:rsidR="00E5309E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10</w:t>
            </w:r>
          </w:p>
        </w:tc>
        <w:tc>
          <w:tcPr>
            <w:tcW w:w="8760" w:type="dxa"/>
            <w:tcBorders>
              <w:top w:val="none" w:sz="0" w:space="0" w:color="FFFFFF"/>
              <w:left w:val="single" w:sz="2" w:space="0" w:color="6E3CBE"/>
              <w:bottom w:val="none" w:sz="0" w:space="0" w:color="FFFFFF"/>
              <w:right w:val="none" w:sz="0" w:space="0" w:color="FFFFFF"/>
            </w:tcBorders>
            <w:shd w:val="clear" w:color="auto" w:fill="282828"/>
            <w:tcMar>
              <w:top w:w="120" w:type="dxa"/>
              <w:left w:w="200" w:type="dxa"/>
              <w:bottom w:w="120" w:type="dxa"/>
              <w:right w:w="120" w:type="dxa"/>
            </w:tcMar>
          </w:tcPr>
          <w:p w14:paraId="442B9E9C" w14:textId="77777777" w:rsidR="00E5309E" w:rsidRDefault="00000000">
            <w:r>
              <w:rPr>
                <w:b/>
                <w:bCs/>
                <w:color w:val="FFFFFF"/>
                <w:sz w:val="30"/>
                <w:szCs w:val="30"/>
              </w:rPr>
              <w:t>Power BI Developer Best Practices</w:t>
            </w:r>
          </w:p>
        </w:tc>
      </w:tr>
    </w:tbl>
    <w:p w14:paraId="7590BED3" w14:textId="77777777" w:rsidR="00E5309E" w:rsidRDefault="00E5309E">
      <w:pPr>
        <w:spacing w:before="80" w:after="80"/>
      </w:pPr>
    </w:p>
    <w:p w14:paraId="4CF5A574" w14:textId="77777777" w:rsidR="00E5309E" w:rsidRDefault="00000000">
      <w:pPr>
        <w:pStyle w:val="Heading3"/>
      </w:pPr>
      <w:r>
        <w:t>Data Model</w:t>
      </w:r>
    </w:p>
    <w:p w14:paraId="06D93646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>Always use a star schema — fact tables surrounded by dimension tables</w:t>
      </w:r>
    </w:p>
    <w:p w14:paraId="5603DAD1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>Avoid many-to-many relationships where possible; use bridge tables</w:t>
      </w:r>
    </w:p>
    <w:p w14:paraId="6CEE7763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>Import mode preferred for &lt; 1M rows and daily refresh scenarios</w:t>
      </w:r>
    </w:p>
    <w:p w14:paraId="13670DA6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Use Composite Model (Import + </w:t>
      </w:r>
      <w:proofErr w:type="spellStart"/>
      <w:r>
        <w:t>DirectQuery</w:t>
      </w:r>
      <w:proofErr w:type="spellEnd"/>
      <w:r>
        <w:t xml:space="preserve">) when real-time KPIs + history </w:t>
      </w:r>
      <w:proofErr w:type="gramStart"/>
      <w:r>
        <w:t>needed</w:t>
      </w:r>
      <w:proofErr w:type="gramEnd"/>
    </w:p>
    <w:p w14:paraId="7383565E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>Pre-aggregate summary tables for executive-level dashboards</w:t>
      </w:r>
    </w:p>
    <w:p w14:paraId="109555C7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>Reduce column cardinality: use integer keys in fact tables</w:t>
      </w:r>
    </w:p>
    <w:p w14:paraId="4C08700F" w14:textId="77777777" w:rsidR="00E5309E" w:rsidRDefault="00E5309E">
      <w:pPr>
        <w:spacing w:before="80" w:after="80"/>
      </w:pPr>
    </w:p>
    <w:p w14:paraId="7ABFD533" w14:textId="77777777" w:rsidR="00E5309E" w:rsidRDefault="00000000">
      <w:pPr>
        <w:pStyle w:val="Heading3"/>
      </w:pPr>
      <w:r>
        <w:t>Applying the Theme</w:t>
      </w:r>
    </w:p>
    <w:p w14:paraId="2C62F8FE" w14:textId="55B22D4D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Import </w:t>
      </w:r>
      <w:r w:rsidR="00BB0CFE">
        <w:t xml:space="preserve">Test </w:t>
      </w:r>
      <w:proofErr w:type="spellStart"/>
      <w:r w:rsidR="00BB0CFE">
        <w:t>Company</w:t>
      </w:r>
      <w:r>
        <w:t>DocumentSolutions.json</w:t>
      </w:r>
      <w:proofErr w:type="spellEnd"/>
      <w:r>
        <w:t xml:space="preserve"> via View → Themes → Browse for themes</w:t>
      </w:r>
    </w:p>
    <w:p w14:paraId="6BF6FEAA" w14:textId="72C84C03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The theme sets: data </w:t>
      </w:r>
      <w:r w:rsidR="00BD68BB">
        <w:t>color</w:t>
      </w:r>
      <w:r>
        <w:t>s, background, card styles, table headers, slicer fonts</w:t>
      </w:r>
    </w:p>
    <w:p w14:paraId="7D94AA27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>Individual Format pane overrides take precedence — use sparingly</w:t>
      </w:r>
    </w:p>
    <w:p w14:paraId="4B5097AC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>Align visual title font to Segoe UI Bold 12pt in every visual</w:t>
      </w:r>
    </w:p>
    <w:p w14:paraId="6DD784E9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>Set background to transparent on all visuals — page background shows through</w:t>
      </w:r>
    </w:p>
    <w:p w14:paraId="0012E046" w14:textId="77777777" w:rsidR="00E5309E" w:rsidRDefault="00E5309E">
      <w:pPr>
        <w:spacing w:before="80" w:after="80"/>
      </w:pPr>
    </w:p>
    <w:p w14:paraId="6F329A32" w14:textId="77777777" w:rsidR="00E5309E" w:rsidRDefault="00000000">
      <w:pPr>
        <w:pStyle w:val="Heading3"/>
      </w:pPr>
      <w:r>
        <w:t>Visual Performance</w:t>
      </w:r>
    </w:p>
    <w:p w14:paraId="035255EC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>Limit visuals per page to 8–12 maximum</w:t>
      </w:r>
    </w:p>
    <w:p w14:paraId="08B6F343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>Use Field Parameters for user-driven metric/axis switching</w:t>
      </w:r>
    </w:p>
    <w:p w14:paraId="6D9F117A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>Disable cross-filtering on visuals that do not require it</w:t>
      </w:r>
    </w:p>
    <w:p w14:paraId="0A6E78BD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>Use aggregated sparkline tables — do not embed per-row sparkline visuals</w:t>
      </w:r>
    </w:p>
    <w:p w14:paraId="4B1AA5EE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>Apply relative date slicers rather than absolute date pickers where possible</w:t>
      </w:r>
    </w:p>
    <w:p w14:paraId="585C68F0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>Avoid custom visuals from AppSource unless security-vetted</w:t>
      </w:r>
    </w:p>
    <w:p w14:paraId="6C3291FB" w14:textId="77777777" w:rsidR="00E5309E" w:rsidRDefault="00E5309E">
      <w:pPr>
        <w:spacing w:before="80" w:after="80"/>
      </w:pPr>
    </w:p>
    <w:p w14:paraId="6B173F5E" w14:textId="77777777" w:rsidR="00E5309E" w:rsidRDefault="00000000">
      <w:pPr>
        <w:pStyle w:val="Heading3"/>
      </w:pPr>
      <w:r>
        <w:t>Naming Conventions</w:t>
      </w:r>
    </w:p>
    <w:p w14:paraId="75E6FCA5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>Report pages: use sentence case with a pipe separator — e.g. "Finance | Budget vs Actuals"</w:t>
      </w:r>
    </w:p>
    <w:p w14:paraId="39773DC1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>Visual titles: sentence case, no full stops at end</w:t>
      </w:r>
    </w:p>
    <w:p w14:paraId="2E88D9AD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Measure names: </w:t>
      </w:r>
      <w:proofErr w:type="spellStart"/>
      <w:r>
        <w:t>PascalCase</w:t>
      </w:r>
      <w:proofErr w:type="spellEnd"/>
      <w:r>
        <w:t xml:space="preserve"> — e.g. [Revenue YTD], [Budget Variance %]</w:t>
      </w:r>
    </w:p>
    <w:p w14:paraId="53137D0A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 xml:space="preserve">Tables: </w:t>
      </w:r>
      <w:proofErr w:type="spellStart"/>
      <w:r>
        <w:t>PascalCase</w:t>
      </w:r>
      <w:proofErr w:type="spellEnd"/>
      <w:r>
        <w:t xml:space="preserve"> singular — e.g. </w:t>
      </w:r>
      <w:proofErr w:type="spellStart"/>
      <w:r>
        <w:t>dim_Date</w:t>
      </w:r>
      <w:proofErr w:type="spellEnd"/>
      <w:r>
        <w:t xml:space="preserve">, </w:t>
      </w:r>
      <w:proofErr w:type="spellStart"/>
      <w:r>
        <w:t>fact_Sales</w:t>
      </w:r>
      <w:proofErr w:type="spellEnd"/>
    </w:p>
    <w:p w14:paraId="2DB0D581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r>
        <w:t>Avoid spaces in column names within fact tables</w:t>
      </w:r>
    </w:p>
    <w:p w14:paraId="73FB8CC7" w14:textId="77777777" w:rsidR="00E5309E" w:rsidRDefault="00E5309E">
      <w:pPr>
        <w:spacing w:before="80" w:after="80"/>
      </w:pPr>
    </w:p>
    <w:p w14:paraId="1454A31C" w14:textId="77777777" w:rsidR="00E5309E" w:rsidRDefault="00E5309E">
      <w:pPr>
        <w:spacing w:before="80" w:after="80"/>
      </w:pPr>
    </w:p>
    <w:p w14:paraId="0E02238B" w14:textId="77777777" w:rsidR="00E5309E" w:rsidRDefault="00E5309E">
      <w:pPr>
        <w:pageBreakBefore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E5309E" w14:paraId="56D84D80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6E3CBE"/>
            <w:tcMar>
              <w:top w:w="120" w:type="dxa"/>
              <w:left w:w="120" w:type="dxa"/>
              <w:bottom w:w="120" w:type="dxa"/>
              <w:right w:w="80" w:type="dxa"/>
            </w:tcMar>
            <w:vAlign w:val="center"/>
          </w:tcPr>
          <w:p w14:paraId="031A5215" w14:textId="77777777" w:rsidR="00E5309E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11</w:t>
            </w:r>
          </w:p>
        </w:tc>
        <w:tc>
          <w:tcPr>
            <w:tcW w:w="8760" w:type="dxa"/>
            <w:tcBorders>
              <w:top w:val="none" w:sz="0" w:space="0" w:color="FFFFFF"/>
              <w:left w:val="single" w:sz="2" w:space="0" w:color="6E3CBE"/>
              <w:bottom w:val="none" w:sz="0" w:space="0" w:color="FFFFFF"/>
              <w:right w:val="none" w:sz="0" w:space="0" w:color="FFFFFF"/>
            </w:tcBorders>
            <w:shd w:val="clear" w:color="auto" w:fill="282828"/>
            <w:tcMar>
              <w:top w:w="120" w:type="dxa"/>
              <w:left w:w="200" w:type="dxa"/>
              <w:bottom w:w="120" w:type="dxa"/>
              <w:right w:w="120" w:type="dxa"/>
            </w:tcMar>
          </w:tcPr>
          <w:p w14:paraId="23CBA727" w14:textId="76B9B06A" w:rsidR="00E5309E" w:rsidRDefault="00000000">
            <w:r>
              <w:rPr>
                <w:b/>
                <w:bCs/>
                <w:color w:val="FFFFFF"/>
                <w:sz w:val="30"/>
                <w:szCs w:val="30"/>
              </w:rPr>
              <w:t xml:space="preserve">Chart </w:t>
            </w:r>
            <w:r w:rsidR="00BD68BB">
              <w:rPr>
                <w:b/>
                <w:bCs/>
                <w:color w:val="FFFFFF"/>
                <w:sz w:val="30"/>
                <w:szCs w:val="30"/>
              </w:rPr>
              <w:t>Color</w:t>
            </w:r>
            <w:r>
              <w:rPr>
                <w:b/>
                <w:bCs/>
                <w:color w:val="FFFFFF"/>
                <w:sz w:val="30"/>
                <w:szCs w:val="30"/>
              </w:rPr>
              <w:t xml:space="preserve"> Strategy Options</w:t>
            </w:r>
          </w:p>
        </w:tc>
      </w:tr>
    </w:tbl>
    <w:p w14:paraId="4321F92C" w14:textId="77777777" w:rsidR="00E5309E" w:rsidRDefault="00E5309E">
      <w:pPr>
        <w:spacing w:before="80" w:after="80"/>
      </w:pPr>
    </w:p>
    <w:p w14:paraId="0960E661" w14:textId="228BF510" w:rsidR="00E5309E" w:rsidRDefault="00000000">
      <w:pPr>
        <w:spacing w:before="60" w:after="60"/>
      </w:pPr>
      <w:r>
        <w:t xml:space="preserve">Three formally approved </w:t>
      </w:r>
      <w:r w:rsidR="00BD68BB">
        <w:t>color</w:t>
      </w:r>
      <w:r>
        <w:t xml:space="preserve"> strategy options are available. The appropriate strategy depends on the audience, report purpose, and level of visual complexity.</w:t>
      </w:r>
    </w:p>
    <w:p w14:paraId="6572BF19" w14:textId="77777777" w:rsidR="00E5309E" w:rsidRDefault="00E5309E">
      <w:pPr>
        <w:spacing w:before="80" w:after="80"/>
      </w:pPr>
    </w:p>
    <w:p w14:paraId="7E1A1432" w14:textId="77777777" w:rsidR="00E5309E" w:rsidRDefault="00000000">
      <w:pPr>
        <w:pStyle w:val="Heading3"/>
      </w:pPr>
      <w:r>
        <w:t>Option A — Conservative (Single Accent)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5309E" w14:paraId="7ED8CCA7" w14:textId="77777777">
        <w:tc>
          <w:tcPr>
            <w:tcW w:w="9360" w:type="dxa"/>
            <w:tcBorders>
              <w:top w:val="none" w:sz="0" w:space="0" w:color="FFFFFF"/>
              <w:left w:val="single" w:sz="16" w:space="0" w:color="A9A9A9"/>
              <w:bottom w:val="none" w:sz="0" w:space="0" w:color="FFFFFF"/>
              <w:right w:val="none" w:sz="0" w:space="0" w:color="FFFFFF"/>
            </w:tcBorders>
            <w:shd w:val="clear" w:color="auto" w:fill="FAFAFA"/>
            <w:tcMar>
              <w:top w:w="120" w:type="dxa"/>
              <w:left w:w="160" w:type="dxa"/>
              <w:bottom w:w="120" w:type="dxa"/>
              <w:right w:w="120" w:type="dxa"/>
            </w:tcMar>
          </w:tcPr>
          <w:p w14:paraId="4985B481" w14:textId="7BB82820" w:rsidR="00E5309E" w:rsidRDefault="00000000">
            <w:pPr>
              <w:spacing w:before="60" w:after="60"/>
            </w:pPr>
            <w:r>
              <w:rPr>
                <w:b/>
                <w:bCs/>
                <w:sz w:val="19"/>
                <w:szCs w:val="19"/>
              </w:rPr>
              <w:t xml:space="preserve">Application: Primarily greyscale with single </w:t>
            </w:r>
            <w:r w:rsidR="00BB0CFE">
              <w:rPr>
                <w:b/>
                <w:bCs/>
                <w:sz w:val="19"/>
                <w:szCs w:val="19"/>
              </w:rPr>
              <w:t>Test Company</w:t>
            </w:r>
            <w:r>
              <w:rPr>
                <w:b/>
                <w:bCs/>
                <w:sz w:val="19"/>
                <w:szCs w:val="19"/>
              </w:rPr>
              <w:t xml:space="preserve"> Purple accent for focus.</w:t>
            </w:r>
          </w:p>
          <w:p w14:paraId="296A99E6" w14:textId="77777777" w:rsidR="00E5309E" w:rsidRDefault="00000000">
            <w:pPr>
              <w:spacing w:before="60" w:after="60"/>
            </w:pPr>
            <w:r>
              <w:rPr>
                <w:sz w:val="18"/>
                <w:szCs w:val="18"/>
              </w:rPr>
              <w:t xml:space="preserve">Charts: Mid </w:t>
            </w:r>
            <w:proofErr w:type="gramStart"/>
            <w:r>
              <w:rPr>
                <w:sz w:val="18"/>
                <w:szCs w:val="18"/>
              </w:rPr>
              <w:t>Grey (#</w:t>
            </w:r>
            <w:proofErr w:type="gramEnd"/>
            <w:r>
              <w:rPr>
                <w:sz w:val="18"/>
                <w:szCs w:val="18"/>
              </w:rPr>
              <w:t xml:space="preserve">A9A9A9) bars with single </w:t>
            </w:r>
            <w:proofErr w:type="gramStart"/>
            <w:r>
              <w:rPr>
                <w:sz w:val="18"/>
                <w:szCs w:val="18"/>
              </w:rPr>
              <w:t>Purple (#</w:t>
            </w:r>
            <w:proofErr w:type="gramEnd"/>
            <w:r>
              <w:rPr>
                <w:sz w:val="18"/>
                <w:szCs w:val="18"/>
              </w:rPr>
              <w:t>6E3CBE) highlight bar</w:t>
            </w:r>
          </w:p>
          <w:p w14:paraId="799EC8A5" w14:textId="77777777" w:rsidR="00E5309E" w:rsidRDefault="00000000">
            <w:pPr>
              <w:spacing w:before="60" w:after="60"/>
            </w:pPr>
            <w:r>
              <w:rPr>
                <w:color w:val="7E7E7E"/>
                <w:sz w:val="18"/>
                <w:szCs w:val="18"/>
              </w:rPr>
              <w:t>Best for: Senior executive reports, board packs, print-</w:t>
            </w:r>
            <w:proofErr w:type="spellStart"/>
            <w:r>
              <w:rPr>
                <w:color w:val="7E7E7E"/>
                <w:sz w:val="18"/>
                <w:szCs w:val="18"/>
              </w:rPr>
              <w:t>optimised</w:t>
            </w:r>
            <w:proofErr w:type="spellEnd"/>
            <w:r>
              <w:rPr>
                <w:color w:val="7E7E7E"/>
                <w:sz w:val="18"/>
                <w:szCs w:val="18"/>
              </w:rPr>
              <w:t xml:space="preserve"> dashboards</w:t>
            </w:r>
          </w:p>
          <w:p w14:paraId="5B8455B4" w14:textId="77777777" w:rsidR="00E5309E" w:rsidRDefault="00000000">
            <w:pPr>
              <w:spacing w:before="60" w:after="60"/>
            </w:pPr>
            <w:r>
              <w:rPr>
                <w:color w:val="F06400"/>
                <w:sz w:val="18"/>
                <w:szCs w:val="18"/>
              </w:rPr>
              <w:t>Avoid: Using this option in high-data-density analytical reports — too little visual differentiation.</w:t>
            </w:r>
          </w:p>
        </w:tc>
      </w:tr>
    </w:tbl>
    <w:p w14:paraId="5E3022F2" w14:textId="77777777" w:rsidR="00E5309E" w:rsidRDefault="00E5309E">
      <w:pPr>
        <w:spacing w:before="80" w:after="80"/>
      </w:pPr>
    </w:p>
    <w:p w14:paraId="77B9768D" w14:textId="77777777" w:rsidR="00E5309E" w:rsidRDefault="00000000">
      <w:pPr>
        <w:pStyle w:val="Heading3"/>
      </w:pPr>
      <w:r>
        <w:t>Option B — Balanced (Primary + Secondary)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5309E" w14:paraId="4E69C053" w14:textId="77777777">
        <w:tc>
          <w:tcPr>
            <w:tcW w:w="9360" w:type="dxa"/>
            <w:tcBorders>
              <w:top w:val="none" w:sz="0" w:space="0" w:color="FFFFFF"/>
              <w:left w:val="single" w:sz="16" w:space="0" w:color="0A9BCD"/>
              <w:bottom w:val="none" w:sz="0" w:space="0" w:color="FFFFFF"/>
              <w:right w:val="none" w:sz="0" w:space="0" w:color="FFFFFF"/>
            </w:tcBorders>
            <w:shd w:val="clear" w:color="auto" w:fill="F5FCFF"/>
            <w:tcMar>
              <w:top w:w="120" w:type="dxa"/>
              <w:left w:w="160" w:type="dxa"/>
              <w:bottom w:w="120" w:type="dxa"/>
              <w:right w:w="120" w:type="dxa"/>
            </w:tcMar>
          </w:tcPr>
          <w:p w14:paraId="2105FADB" w14:textId="77777777" w:rsidR="00E5309E" w:rsidRDefault="00000000">
            <w:pPr>
              <w:spacing w:before="60" w:after="60"/>
            </w:pPr>
            <w:r>
              <w:rPr>
                <w:b/>
                <w:bCs/>
                <w:sz w:val="19"/>
                <w:szCs w:val="19"/>
              </w:rPr>
              <w:t>Application: Purple as primary, Blue as secondary; Green/Orange for semantic only.</w:t>
            </w:r>
          </w:p>
          <w:p w14:paraId="7D75724E" w14:textId="77777777" w:rsidR="00E5309E" w:rsidRDefault="00000000">
            <w:pPr>
              <w:spacing w:before="60" w:after="60"/>
            </w:pPr>
            <w:r>
              <w:rPr>
                <w:sz w:val="18"/>
                <w:szCs w:val="18"/>
              </w:rPr>
              <w:t>Charts: Purple + Blue for comparative data; tints for third/fourth series</w:t>
            </w:r>
          </w:p>
          <w:p w14:paraId="1DAF16DF" w14:textId="77777777" w:rsidR="00E5309E" w:rsidRDefault="00000000">
            <w:pPr>
              <w:spacing w:before="60" w:after="60"/>
            </w:pPr>
            <w:r>
              <w:rPr>
                <w:color w:val="7E7E7E"/>
                <w:sz w:val="18"/>
                <w:szCs w:val="18"/>
              </w:rPr>
              <w:t>Best for: Finance, HR, Operations dashboards. Default recommendation for most reports.</w:t>
            </w:r>
          </w:p>
          <w:p w14:paraId="610D184A" w14:textId="77777777" w:rsidR="00E5309E" w:rsidRDefault="00000000">
            <w:pPr>
              <w:spacing w:before="60" w:after="60"/>
            </w:pPr>
            <w:r>
              <w:rPr>
                <w:color w:val="F06400"/>
                <w:sz w:val="18"/>
                <w:szCs w:val="18"/>
              </w:rPr>
              <w:t>Avoid: Adding Yellow or Orange to charts unless they carry semantic meaning.</w:t>
            </w:r>
          </w:p>
        </w:tc>
      </w:tr>
    </w:tbl>
    <w:p w14:paraId="4A040A24" w14:textId="77777777" w:rsidR="00E5309E" w:rsidRDefault="00E5309E">
      <w:pPr>
        <w:spacing w:before="80" w:after="80"/>
      </w:pPr>
    </w:p>
    <w:p w14:paraId="1805E6B0" w14:textId="77777777" w:rsidR="00E5309E" w:rsidRDefault="00000000">
      <w:pPr>
        <w:pStyle w:val="Heading3"/>
      </w:pPr>
      <w:r>
        <w:t>Option C — Vibrant Analytical (Full Palette)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E5309E" w14:paraId="3D75E25C" w14:textId="77777777">
        <w:tc>
          <w:tcPr>
            <w:tcW w:w="9360" w:type="dxa"/>
            <w:tcBorders>
              <w:top w:val="none" w:sz="0" w:space="0" w:color="FFFFFF"/>
              <w:left w:val="single" w:sz="16" w:space="0" w:color="F06400"/>
              <w:bottom w:val="none" w:sz="0" w:space="0" w:color="FFFFFF"/>
              <w:right w:val="none" w:sz="0" w:space="0" w:color="FFFFFF"/>
            </w:tcBorders>
            <w:shd w:val="clear" w:color="auto" w:fill="FFFAF5"/>
            <w:tcMar>
              <w:top w:w="120" w:type="dxa"/>
              <w:left w:w="160" w:type="dxa"/>
              <w:bottom w:w="120" w:type="dxa"/>
              <w:right w:w="120" w:type="dxa"/>
            </w:tcMar>
          </w:tcPr>
          <w:p w14:paraId="356FBF16" w14:textId="6E83DE3B" w:rsidR="00E5309E" w:rsidRDefault="00000000">
            <w:pPr>
              <w:spacing w:before="60" w:after="60"/>
            </w:pPr>
            <w:r>
              <w:rPr>
                <w:b/>
                <w:bCs/>
                <w:sz w:val="19"/>
                <w:szCs w:val="19"/>
              </w:rPr>
              <w:t xml:space="preserve">Application: All five secondary </w:t>
            </w:r>
            <w:r w:rsidR="00BD68BB">
              <w:rPr>
                <w:b/>
                <w:bCs/>
                <w:sz w:val="19"/>
                <w:szCs w:val="19"/>
              </w:rPr>
              <w:t>color</w:t>
            </w:r>
            <w:r>
              <w:rPr>
                <w:b/>
                <w:bCs/>
                <w:sz w:val="19"/>
                <w:szCs w:val="19"/>
              </w:rPr>
              <w:t xml:space="preserve">s used in defined sequence. Still </w:t>
            </w:r>
            <w:proofErr w:type="gramStart"/>
            <w:r>
              <w:rPr>
                <w:b/>
                <w:bCs/>
                <w:sz w:val="19"/>
                <w:szCs w:val="19"/>
              </w:rPr>
              <w:t>enterprise-appropriate</w:t>
            </w:r>
            <w:proofErr w:type="gramEnd"/>
            <w:r>
              <w:rPr>
                <w:b/>
                <w:bCs/>
                <w:sz w:val="19"/>
                <w:szCs w:val="19"/>
              </w:rPr>
              <w:t>.</w:t>
            </w:r>
          </w:p>
          <w:p w14:paraId="1B027DF8" w14:textId="6F5A0B65" w:rsidR="00E5309E" w:rsidRDefault="00000000">
            <w:pPr>
              <w:spacing w:before="60" w:after="60"/>
            </w:pPr>
            <w:r>
              <w:rPr>
                <w:sz w:val="18"/>
                <w:szCs w:val="18"/>
              </w:rPr>
              <w:t>Charts: Full 5-</w:t>
            </w:r>
            <w:r w:rsidR="00BD68BB">
              <w:rPr>
                <w:sz w:val="18"/>
                <w:szCs w:val="18"/>
              </w:rPr>
              <w:t>color</w:t>
            </w:r>
            <w:r>
              <w:rPr>
                <w:sz w:val="18"/>
                <w:szCs w:val="18"/>
              </w:rPr>
              <w:t xml:space="preserve"> sequence for comparative/multi-series charts</w:t>
            </w:r>
          </w:p>
          <w:p w14:paraId="49A757CD" w14:textId="77777777" w:rsidR="00E5309E" w:rsidRDefault="00000000">
            <w:pPr>
              <w:spacing w:before="60" w:after="60"/>
            </w:pPr>
            <w:r>
              <w:rPr>
                <w:color w:val="7E7E7E"/>
                <w:sz w:val="18"/>
                <w:szCs w:val="18"/>
              </w:rPr>
              <w:t>Best for: Marketing dashboards, product analytics, CRM reports with many categories.</w:t>
            </w:r>
          </w:p>
          <w:p w14:paraId="33E042F8" w14:textId="77777777" w:rsidR="00E5309E" w:rsidRDefault="00000000">
            <w:pPr>
              <w:spacing w:before="60" w:after="60"/>
            </w:pPr>
            <w:r>
              <w:rPr>
                <w:color w:val="F06400"/>
                <w:sz w:val="18"/>
                <w:szCs w:val="18"/>
              </w:rPr>
              <w:t>Avoid: Using this in financial/executive reports where restraint is required.</w:t>
            </w:r>
          </w:p>
        </w:tc>
      </w:tr>
    </w:tbl>
    <w:p w14:paraId="6E79BB16" w14:textId="77777777" w:rsidR="00E5309E" w:rsidRDefault="00E5309E">
      <w:pPr>
        <w:spacing w:before="80" w:after="80"/>
      </w:pPr>
    </w:p>
    <w:p w14:paraId="4F0B28C3" w14:textId="77777777" w:rsidR="00E5309E" w:rsidRDefault="00E5309E">
      <w:pPr>
        <w:spacing w:before="80" w:after="80"/>
      </w:pPr>
    </w:p>
    <w:p w14:paraId="7A279EB9" w14:textId="77777777" w:rsidR="00E5309E" w:rsidRDefault="00E5309E">
      <w:pPr>
        <w:pageBreakBefore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760"/>
      </w:tblGrid>
      <w:tr w:rsidR="00E5309E" w14:paraId="014E1BF4" w14:textId="77777777">
        <w:tc>
          <w:tcPr>
            <w:tcW w:w="6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6E3CBE"/>
            <w:tcMar>
              <w:top w:w="120" w:type="dxa"/>
              <w:left w:w="120" w:type="dxa"/>
              <w:bottom w:w="120" w:type="dxa"/>
              <w:right w:w="80" w:type="dxa"/>
            </w:tcMar>
            <w:vAlign w:val="center"/>
          </w:tcPr>
          <w:p w14:paraId="5D010FE6" w14:textId="77777777" w:rsidR="00E5309E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12</w:t>
            </w:r>
          </w:p>
        </w:tc>
        <w:tc>
          <w:tcPr>
            <w:tcW w:w="8760" w:type="dxa"/>
            <w:tcBorders>
              <w:top w:val="none" w:sz="0" w:space="0" w:color="FFFFFF"/>
              <w:left w:val="single" w:sz="2" w:space="0" w:color="6E3CBE"/>
              <w:bottom w:val="none" w:sz="0" w:space="0" w:color="FFFFFF"/>
              <w:right w:val="none" w:sz="0" w:space="0" w:color="FFFFFF"/>
            </w:tcBorders>
            <w:shd w:val="clear" w:color="auto" w:fill="282828"/>
            <w:tcMar>
              <w:top w:w="120" w:type="dxa"/>
              <w:left w:w="200" w:type="dxa"/>
              <w:bottom w:w="120" w:type="dxa"/>
              <w:right w:w="120" w:type="dxa"/>
            </w:tcMar>
          </w:tcPr>
          <w:p w14:paraId="0CCBCB97" w14:textId="77777777" w:rsidR="00E5309E" w:rsidRDefault="00000000">
            <w:r>
              <w:rPr>
                <w:b/>
                <w:bCs/>
                <w:color w:val="FFFFFF"/>
                <w:sz w:val="30"/>
                <w:szCs w:val="30"/>
              </w:rPr>
              <w:t>Governance &amp; Quality Checklist</w:t>
            </w:r>
          </w:p>
        </w:tc>
      </w:tr>
    </w:tbl>
    <w:p w14:paraId="2C9306AE" w14:textId="77777777" w:rsidR="00E5309E" w:rsidRDefault="00E5309E">
      <w:pPr>
        <w:spacing w:before="80" w:after="80"/>
      </w:pPr>
    </w:p>
    <w:p w14:paraId="1F740D0B" w14:textId="77777777" w:rsidR="00E5309E" w:rsidRDefault="00000000">
      <w:pPr>
        <w:spacing w:before="60" w:after="60"/>
      </w:pPr>
      <w:r>
        <w:t xml:space="preserve">Before publishing or sharing any Power BI report, developers must complete this governance checklist. All items must be marked </w:t>
      </w:r>
      <w:proofErr w:type="gramStart"/>
      <w:r>
        <w:t>complete</w:t>
      </w:r>
      <w:proofErr w:type="gramEnd"/>
      <w:r>
        <w:t>.</w:t>
      </w:r>
    </w:p>
    <w:p w14:paraId="42251715" w14:textId="77777777" w:rsidR="00E5309E" w:rsidRDefault="00E5309E">
      <w:pPr>
        <w:spacing w:before="80" w:after="80"/>
      </w:pPr>
    </w:p>
    <w:p w14:paraId="23F345AD" w14:textId="77777777" w:rsidR="00E5309E" w:rsidRDefault="00000000">
      <w:pPr>
        <w:pStyle w:val="Heading3"/>
      </w:pPr>
      <w:r>
        <w:t>Brand Compliance</w:t>
      </w:r>
    </w:p>
    <w:p w14:paraId="46C4D31E" w14:textId="02F39FA6" w:rsidR="00E5309E" w:rsidRDefault="00000000">
      <w:pPr>
        <w:pStyle w:val="ListParagraph"/>
        <w:numPr>
          <w:ilvl w:val="0"/>
          <w:numId w:val="2"/>
        </w:numPr>
        <w:spacing w:before="40" w:after="40"/>
      </w:pPr>
      <w:proofErr w:type="gramStart"/>
      <w:r>
        <w:rPr>
          <w:sz w:val="19"/>
          <w:szCs w:val="19"/>
        </w:rPr>
        <w:t>☐  Page</w:t>
      </w:r>
      <w:proofErr w:type="gramEnd"/>
      <w:r>
        <w:rPr>
          <w:sz w:val="19"/>
          <w:szCs w:val="19"/>
        </w:rPr>
        <w:t xml:space="preserve"> background is </w:t>
      </w:r>
      <w:r w:rsidR="00BB0CFE">
        <w:rPr>
          <w:sz w:val="19"/>
          <w:szCs w:val="19"/>
        </w:rPr>
        <w:t>Test Company</w:t>
      </w:r>
      <w:r>
        <w:rPr>
          <w:sz w:val="19"/>
          <w:szCs w:val="19"/>
        </w:rPr>
        <w:t xml:space="preserve"> Light Grey (#F2F2F2)</w:t>
      </w:r>
    </w:p>
    <w:p w14:paraId="07E3F481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proofErr w:type="gramStart"/>
      <w:r>
        <w:rPr>
          <w:sz w:val="19"/>
          <w:szCs w:val="19"/>
        </w:rPr>
        <w:t>☐  Navigation</w:t>
      </w:r>
      <w:proofErr w:type="gramEnd"/>
      <w:r>
        <w:rPr>
          <w:sz w:val="19"/>
          <w:szCs w:val="19"/>
        </w:rPr>
        <w:t xml:space="preserve"> bar uses Dark </w:t>
      </w:r>
      <w:proofErr w:type="gramStart"/>
      <w:r>
        <w:rPr>
          <w:sz w:val="19"/>
          <w:szCs w:val="19"/>
        </w:rPr>
        <w:t>Grey (#</w:t>
      </w:r>
      <w:proofErr w:type="gramEnd"/>
      <w:r>
        <w:rPr>
          <w:sz w:val="19"/>
          <w:szCs w:val="19"/>
        </w:rPr>
        <w:t>282828) with Purple active underline</w:t>
      </w:r>
    </w:p>
    <w:p w14:paraId="4F279ABB" w14:textId="3BFD9A1E" w:rsidR="00E5309E" w:rsidRDefault="00000000">
      <w:pPr>
        <w:pStyle w:val="ListParagraph"/>
        <w:numPr>
          <w:ilvl w:val="0"/>
          <w:numId w:val="2"/>
        </w:numPr>
        <w:spacing w:before="40" w:after="40"/>
      </w:pPr>
      <w:proofErr w:type="gramStart"/>
      <w:r>
        <w:rPr>
          <w:sz w:val="19"/>
          <w:szCs w:val="19"/>
        </w:rPr>
        <w:t>☐  No</w:t>
      </w:r>
      <w:proofErr w:type="gramEnd"/>
      <w:r>
        <w:rPr>
          <w:sz w:val="19"/>
          <w:szCs w:val="19"/>
        </w:rPr>
        <w:t xml:space="preserve"> non-brand </w:t>
      </w:r>
      <w:r w:rsidR="00BD68BB">
        <w:rPr>
          <w:sz w:val="19"/>
          <w:szCs w:val="19"/>
        </w:rPr>
        <w:t>color</w:t>
      </w:r>
      <w:r>
        <w:rPr>
          <w:sz w:val="19"/>
          <w:szCs w:val="19"/>
        </w:rPr>
        <w:t>s are used (no CSS-blue, default Excel palette, etc.)</w:t>
      </w:r>
    </w:p>
    <w:p w14:paraId="3D67D5AB" w14:textId="3D2B13C8" w:rsidR="00E5309E" w:rsidRDefault="00000000">
      <w:pPr>
        <w:pStyle w:val="ListParagraph"/>
        <w:numPr>
          <w:ilvl w:val="0"/>
          <w:numId w:val="2"/>
        </w:numPr>
        <w:spacing w:before="40" w:after="40"/>
      </w:pPr>
      <w:proofErr w:type="gramStart"/>
      <w:r>
        <w:rPr>
          <w:sz w:val="19"/>
          <w:szCs w:val="19"/>
        </w:rPr>
        <w:t>☐  Semantic</w:t>
      </w:r>
      <w:proofErr w:type="gramEnd"/>
      <w:r>
        <w:rPr>
          <w:sz w:val="19"/>
          <w:szCs w:val="19"/>
        </w:rPr>
        <w:t xml:space="preserve"> </w:t>
      </w:r>
      <w:r w:rsidR="00BD68BB">
        <w:rPr>
          <w:sz w:val="19"/>
          <w:szCs w:val="19"/>
        </w:rPr>
        <w:t>color</w:t>
      </w:r>
      <w:r>
        <w:rPr>
          <w:sz w:val="19"/>
          <w:szCs w:val="19"/>
        </w:rPr>
        <w:t xml:space="preserve"> assignments are followed (Green = positive, Orange = negative)</w:t>
      </w:r>
    </w:p>
    <w:p w14:paraId="537CE3E0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proofErr w:type="gramStart"/>
      <w:r>
        <w:rPr>
          <w:sz w:val="19"/>
          <w:szCs w:val="19"/>
        </w:rPr>
        <w:t>☐  Typography</w:t>
      </w:r>
      <w:proofErr w:type="gramEnd"/>
      <w:r>
        <w:rPr>
          <w:sz w:val="19"/>
          <w:szCs w:val="19"/>
        </w:rPr>
        <w:t xml:space="preserve"> uses Segoe UI throughout</w:t>
      </w:r>
    </w:p>
    <w:p w14:paraId="793EF1A5" w14:textId="569EC434" w:rsidR="00E5309E" w:rsidRDefault="00000000">
      <w:pPr>
        <w:pStyle w:val="ListParagraph"/>
        <w:numPr>
          <w:ilvl w:val="0"/>
          <w:numId w:val="2"/>
        </w:numPr>
        <w:spacing w:before="40" w:after="40"/>
      </w:pPr>
      <w:proofErr w:type="gramStart"/>
      <w:r>
        <w:rPr>
          <w:sz w:val="19"/>
          <w:szCs w:val="19"/>
        </w:rPr>
        <w:t>☐  KPI</w:t>
      </w:r>
      <w:proofErr w:type="gramEnd"/>
      <w:r>
        <w:rPr>
          <w:sz w:val="19"/>
          <w:szCs w:val="19"/>
        </w:rPr>
        <w:t xml:space="preserve"> values use </w:t>
      </w:r>
      <w:proofErr w:type="gramStart"/>
      <w:r>
        <w:rPr>
          <w:sz w:val="19"/>
          <w:szCs w:val="19"/>
        </w:rPr>
        <w:t>Purple (#</w:t>
      </w:r>
      <w:proofErr w:type="gramEnd"/>
      <w:r>
        <w:rPr>
          <w:sz w:val="19"/>
          <w:szCs w:val="19"/>
        </w:rPr>
        <w:t xml:space="preserve">6E3CBE) as default </w:t>
      </w:r>
      <w:r w:rsidR="00BD68BB">
        <w:rPr>
          <w:sz w:val="19"/>
          <w:szCs w:val="19"/>
        </w:rPr>
        <w:t>color</w:t>
      </w:r>
    </w:p>
    <w:p w14:paraId="7EC94F02" w14:textId="7864C3B4" w:rsidR="00E5309E" w:rsidRDefault="00000000">
      <w:pPr>
        <w:pStyle w:val="ListParagraph"/>
        <w:numPr>
          <w:ilvl w:val="0"/>
          <w:numId w:val="2"/>
        </w:numPr>
        <w:spacing w:before="40" w:after="40"/>
      </w:pPr>
      <w:proofErr w:type="gramStart"/>
      <w:r>
        <w:rPr>
          <w:sz w:val="19"/>
          <w:szCs w:val="19"/>
        </w:rPr>
        <w:t>☐  Top</w:t>
      </w:r>
      <w:proofErr w:type="gramEnd"/>
      <w:r>
        <w:rPr>
          <w:sz w:val="19"/>
          <w:szCs w:val="19"/>
        </w:rPr>
        <w:t xml:space="preserve"> accent stripes on KPI cards match the metric semantic </w:t>
      </w:r>
      <w:r w:rsidR="00BD68BB">
        <w:rPr>
          <w:sz w:val="19"/>
          <w:szCs w:val="19"/>
        </w:rPr>
        <w:t>color</w:t>
      </w:r>
    </w:p>
    <w:p w14:paraId="0BE8FA8A" w14:textId="77777777" w:rsidR="00E5309E" w:rsidRDefault="00E5309E">
      <w:pPr>
        <w:spacing w:before="80" w:after="80"/>
      </w:pPr>
    </w:p>
    <w:p w14:paraId="03E02886" w14:textId="77777777" w:rsidR="00E5309E" w:rsidRDefault="00000000">
      <w:pPr>
        <w:pStyle w:val="Heading3"/>
      </w:pPr>
      <w:r>
        <w:t>Accessibility</w:t>
      </w:r>
    </w:p>
    <w:p w14:paraId="497F4C7C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proofErr w:type="gramStart"/>
      <w:r>
        <w:rPr>
          <w:sz w:val="19"/>
          <w:szCs w:val="19"/>
        </w:rPr>
        <w:t>☐  All</w:t>
      </w:r>
      <w:proofErr w:type="gramEnd"/>
      <w:r>
        <w:rPr>
          <w:sz w:val="19"/>
          <w:szCs w:val="19"/>
        </w:rPr>
        <w:t xml:space="preserve"> text/background combinations pass WCAG 2.1 AA (4.5:1 for normal text)</w:t>
      </w:r>
    </w:p>
    <w:p w14:paraId="33A6068B" w14:textId="5C9A1C9E" w:rsidR="00E5309E" w:rsidRDefault="00000000">
      <w:pPr>
        <w:pStyle w:val="ListParagraph"/>
        <w:numPr>
          <w:ilvl w:val="0"/>
          <w:numId w:val="2"/>
        </w:numPr>
        <w:spacing w:before="40" w:after="40"/>
      </w:pPr>
      <w:proofErr w:type="gramStart"/>
      <w:r>
        <w:rPr>
          <w:sz w:val="19"/>
          <w:szCs w:val="19"/>
        </w:rPr>
        <w:t xml:space="preserve">☐  </w:t>
      </w:r>
      <w:r w:rsidR="00BD68BB">
        <w:rPr>
          <w:sz w:val="19"/>
          <w:szCs w:val="19"/>
        </w:rPr>
        <w:t>Color</w:t>
      </w:r>
      <w:proofErr w:type="gramEnd"/>
      <w:r>
        <w:rPr>
          <w:sz w:val="19"/>
          <w:szCs w:val="19"/>
        </w:rPr>
        <w:t xml:space="preserve"> is not the only means of conveying meaning — icons/labels also used</w:t>
      </w:r>
    </w:p>
    <w:p w14:paraId="0355BFA4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proofErr w:type="gramStart"/>
      <w:r>
        <w:rPr>
          <w:sz w:val="19"/>
          <w:szCs w:val="19"/>
        </w:rPr>
        <w:t>☐  Alt</w:t>
      </w:r>
      <w:proofErr w:type="gramEnd"/>
      <w:r>
        <w:rPr>
          <w:sz w:val="19"/>
          <w:szCs w:val="19"/>
        </w:rPr>
        <w:t xml:space="preserve"> text enabled on all chart visuals</w:t>
      </w:r>
    </w:p>
    <w:p w14:paraId="0BA5B273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proofErr w:type="gramStart"/>
      <w:r>
        <w:rPr>
          <w:sz w:val="19"/>
          <w:szCs w:val="19"/>
        </w:rPr>
        <w:t>☐  Minimum</w:t>
      </w:r>
      <w:proofErr w:type="gramEnd"/>
      <w:r>
        <w:rPr>
          <w:sz w:val="19"/>
          <w:szCs w:val="19"/>
        </w:rPr>
        <w:t xml:space="preserve"> 44px touch targets on interactive elements</w:t>
      </w:r>
    </w:p>
    <w:p w14:paraId="6EBB9E45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proofErr w:type="gramStart"/>
      <w:r>
        <w:rPr>
          <w:sz w:val="19"/>
          <w:szCs w:val="19"/>
        </w:rPr>
        <w:t>☐  Green</w:t>
      </w:r>
      <w:proofErr w:type="gramEnd"/>
      <w:r>
        <w:rPr>
          <w:sz w:val="19"/>
          <w:szCs w:val="19"/>
        </w:rPr>
        <w:t xml:space="preserve"> (#00B176) not used on Light Grey background</w:t>
      </w:r>
    </w:p>
    <w:p w14:paraId="2EB3BB9F" w14:textId="504E61FB" w:rsidR="00E5309E" w:rsidRDefault="00000000">
      <w:pPr>
        <w:pStyle w:val="ListParagraph"/>
        <w:numPr>
          <w:ilvl w:val="0"/>
          <w:numId w:val="2"/>
        </w:numPr>
        <w:spacing w:before="40" w:after="40"/>
      </w:pPr>
      <w:proofErr w:type="gramStart"/>
      <w:r>
        <w:rPr>
          <w:sz w:val="19"/>
          <w:szCs w:val="19"/>
        </w:rPr>
        <w:t>☐  Yellow</w:t>
      </w:r>
      <w:proofErr w:type="gramEnd"/>
      <w:r>
        <w:rPr>
          <w:sz w:val="19"/>
          <w:szCs w:val="19"/>
        </w:rPr>
        <w:t xml:space="preserve"> (#F5B400) not used as text </w:t>
      </w:r>
      <w:r w:rsidR="00BD68BB">
        <w:rPr>
          <w:sz w:val="19"/>
          <w:szCs w:val="19"/>
        </w:rPr>
        <w:t>color</w:t>
      </w:r>
      <w:r>
        <w:rPr>
          <w:sz w:val="19"/>
          <w:szCs w:val="19"/>
        </w:rPr>
        <w:t xml:space="preserve"> on any background</w:t>
      </w:r>
    </w:p>
    <w:p w14:paraId="403194A9" w14:textId="77777777" w:rsidR="00E5309E" w:rsidRDefault="00E5309E">
      <w:pPr>
        <w:spacing w:before="80" w:after="80"/>
      </w:pPr>
    </w:p>
    <w:p w14:paraId="4920DF53" w14:textId="77777777" w:rsidR="00E5309E" w:rsidRDefault="00000000">
      <w:pPr>
        <w:pStyle w:val="Heading3"/>
      </w:pPr>
      <w:r>
        <w:t>Data &amp; Performance</w:t>
      </w:r>
    </w:p>
    <w:p w14:paraId="0D245B62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proofErr w:type="gramStart"/>
      <w:r>
        <w:rPr>
          <w:sz w:val="19"/>
          <w:szCs w:val="19"/>
        </w:rPr>
        <w:t>☐  Maximum</w:t>
      </w:r>
      <w:proofErr w:type="gramEnd"/>
      <w:r>
        <w:rPr>
          <w:sz w:val="19"/>
          <w:szCs w:val="19"/>
        </w:rPr>
        <w:t xml:space="preserve"> 12 visuals per report page</w:t>
      </w:r>
    </w:p>
    <w:p w14:paraId="46D2651D" w14:textId="5C1CD382" w:rsidR="00E5309E" w:rsidRDefault="00000000">
      <w:pPr>
        <w:pStyle w:val="ListParagraph"/>
        <w:numPr>
          <w:ilvl w:val="0"/>
          <w:numId w:val="2"/>
        </w:numPr>
        <w:spacing w:before="40" w:after="40"/>
      </w:pPr>
      <w:proofErr w:type="gramStart"/>
      <w:r>
        <w:rPr>
          <w:sz w:val="19"/>
          <w:szCs w:val="19"/>
        </w:rPr>
        <w:t>☐  Theme</w:t>
      </w:r>
      <w:proofErr w:type="gramEnd"/>
      <w:r>
        <w:rPr>
          <w:sz w:val="19"/>
          <w:szCs w:val="19"/>
        </w:rPr>
        <w:t xml:space="preserve"> JSON file applied (</w:t>
      </w:r>
      <w:r w:rsidR="00BB0CFE">
        <w:rPr>
          <w:sz w:val="19"/>
          <w:szCs w:val="19"/>
        </w:rPr>
        <w:t xml:space="preserve">Test </w:t>
      </w:r>
      <w:proofErr w:type="spellStart"/>
      <w:r w:rsidR="00BB0CFE">
        <w:rPr>
          <w:sz w:val="19"/>
          <w:szCs w:val="19"/>
        </w:rPr>
        <w:t>Company</w:t>
      </w:r>
      <w:r>
        <w:rPr>
          <w:sz w:val="19"/>
          <w:szCs w:val="19"/>
        </w:rPr>
        <w:t>DocumentSolutions.json</w:t>
      </w:r>
      <w:proofErr w:type="spellEnd"/>
      <w:r>
        <w:rPr>
          <w:sz w:val="19"/>
          <w:szCs w:val="19"/>
        </w:rPr>
        <w:t>)</w:t>
      </w:r>
    </w:p>
    <w:p w14:paraId="107DF150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proofErr w:type="gramStart"/>
      <w:r>
        <w:rPr>
          <w:sz w:val="19"/>
          <w:szCs w:val="19"/>
        </w:rPr>
        <w:t>☐  Visual</w:t>
      </w:r>
      <w:proofErr w:type="gramEnd"/>
      <w:r>
        <w:rPr>
          <w:sz w:val="19"/>
          <w:szCs w:val="19"/>
        </w:rPr>
        <w:t xml:space="preserve"> titles set in Segoe UI Bold 12pt</w:t>
      </w:r>
    </w:p>
    <w:p w14:paraId="4A9F537E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proofErr w:type="gramStart"/>
      <w:r>
        <w:rPr>
          <w:sz w:val="19"/>
          <w:szCs w:val="19"/>
        </w:rPr>
        <w:t>☐  Background</w:t>
      </w:r>
      <w:proofErr w:type="gramEnd"/>
      <w:r>
        <w:rPr>
          <w:sz w:val="19"/>
          <w:szCs w:val="19"/>
        </w:rPr>
        <w:t xml:space="preserve"> transparency set on all visuals</w:t>
      </w:r>
    </w:p>
    <w:p w14:paraId="5D52E2E9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proofErr w:type="gramStart"/>
      <w:r>
        <w:rPr>
          <w:sz w:val="19"/>
          <w:szCs w:val="19"/>
        </w:rPr>
        <w:t>☐  Unnecessary</w:t>
      </w:r>
      <w:proofErr w:type="gramEnd"/>
      <w:r>
        <w:rPr>
          <w:sz w:val="19"/>
          <w:szCs w:val="19"/>
        </w:rPr>
        <w:t xml:space="preserve"> cross-filtering disabled</w:t>
      </w:r>
    </w:p>
    <w:p w14:paraId="4FD7F230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proofErr w:type="gramStart"/>
      <w:r>
        <w:rPr>
          <w:sz w:val="19"/>
          <w:szCs w:val="19"/>
        </w:rPr>
        <w:t>☐  Report</w:t>
      </w:r>
      <w:proofErr w:type="gramEnd"/>
      <w:r>
        <w:rPr>
          <w:sz w:val="19"/>
          <w:szCs w:val="19"/>
        </w:rPr>
        <w:t xml:space="preserve"> naming convention followed (e.g. "Finance | Budget vs Actuals")</w:t>
      </w:r>
    </w:p>
    <w:p w14:paraId="2A730AB5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proofErr w:type="gramStart"/>
      <w:r>
        <w:rPr>
          <w:sz w:val="19"/>
          <w:szCs w:val="19"/>
        </w:rPr>
        <w:t>☐  DAX</w:t>
      </w:r>
      <w:proofErr w:type="gramEnd"/>
      <w:r>
        <w:rPr>
          <w:sz w:val="19"/>
          <w:szCs w:val="19"/>
        </w:rPr>
        <w:t xml:space="preserve"> measures reviewed for correctness</w:t>
      </w:r>
    </w:p>
    <w:p w14:paraId="1A6E917B" w14:textId="77777777" w:rsidR="00E5309E" w:rsidRDefault="00000000">
      <w:pPr>
        <w:pStyle w:val="ListParagraph"/>
        <w:numPr>
          <w:ilvl w:val="0"/>
          <w:numId w:val="2"/>
        </w:numPr>
        <w:spacing w:before="40" w:after="40"/>
      </w:pPr>
      <w:proofErr w:type="gramStart"/>
      <w:r>
        <w:rPr>
          <w:sz w:val="19"/>
          <w:szCs w:val="19"/>
        </w:rPr>
        <w:t>☐  Data</w:t>
      </w:r>
      <w:proofErr w:type="gramEnd"/>
      <w:r>
        <w:rPr>
          <w:sz w:val="19"/>
          <w:szCs w:val="19"/>
        </w:rPr>
        <w:t xml:space="preserve"> refresh schedule confirmed</w:t>
      </w:r>
    </w:p>
    <w:p w14:paraId="1ECFD95A" w14:textId="77777777" w:rsidR="00E5309E" w:rsidRDefault="00E5309E">
      <w:pPr>
        <w:spacing w:before="80" w:after="80"/>
      </w:pPr>
    </w:p>
    <w:p w14:paraId="26D217FB" w14:textId="77777777" w:rsidR="00E5309E" w:rsidRDefault="00E5309E">
      <w:pPr>
        <w:spacing w:before="80" w:after="80"/>
      </w:pPr>
    </w:p>
    <w:p w14:paraId="64EEBA32" w14:textId="77777777" w:rsidR="00E5309E" w:rsidRDefault="00E5309E">
      <w:pPr>
        <w:pBdr>
          <w:bottom w:val="single" w:sz="4" w:space="1" w:color="6E3CBE"/>
        </w:pBdr>
        <w:spacing w:before="120" w:after="120"/>
      </w:pPr>
    </w:p>
    <w:p w14:paraId="3569EAFA" w14:textId="4B841673" w:rsidR="00E5309E" w:rsidRDefault="00BB0CFE">
      <w:pPr>
        <w:spacing w:before="200" w:after="80"/>
        <w:jc w:val="center"/>
      </w:pPr>
      <w:r>
        <w:rPr>
          <w:color w:val="7E7E7E"/>
          <w:sz w:val="16"/>
          <w:szCs w:val="16"/>
        </w:rPr>
        <w:t>Test Company Document Solutions — Enterprise Dashboard Design System</w:t>
      </w:r>
    </w:p>
    <w:p w14:paraId="3B68585B" w14:textId="77777777" w:rsidR="00E5309E" w:rsidRDefault="00000000">
      <w:pPr>
        <w:jc w:val="center"/>
      </w:pPr>
      <w:r>
        <w:rPr>
          <w:color w:val="A9A9A9"/>
          <w:sz w:val="14"/>
          <w:szCs w:val="14"/>
        </w:rPr>
        <w:t>Version 1.0 · April 2026 · Internal Use Only · Business Intelligence &amp; Marketing</w:t>
      </w:r>
    </w:p>
    <w:sectPr w:rsidR="00E5309E">
      <w:head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50070" w14:textId="77777777" w:rsidR="00CB34BC" w:rsidRDefault="00CB34BC">
      <w:r>
        <w:separator/>
      </w:r>
    </w:p>
  </w:endnote>
  <w:endnote w:type="continuationSeparator" w:id="0">
    <w:p w14:paraId="5A6359D6" w14:textId="77777777" w:rsidR="00CB34BC" w:rsidRDefault="00CB3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702C5" w14:textId="77777777" w:rsidR="00CB34BC" w:rsidRDefault="00CB34BC">
      <w:r>
        <w:separator/>
      </w:r>
    </w:p>
  </w:footnote>
  <w:footnote w:type="continuationSeparator" w:id="0">
    <w:p w14:paraId="7992E30C" w14:textId="77777777" w:rsidR="00CB34BC" w:rsidRDefault="00CB3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FBB78" w14:textId="77777777" w:rsidR="00000000" w:rsidRDefault="00000000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B73DD"/>
    <w:multiLevelType w:val="hybridMultilevel"/>
    <w:tmpl w:val="67AA4B0E"/>
    <w:lvl w:ilvl="0" w:tplc="B336BD6A">
      <w:start w:val="1"/>
      <w:numFmt w:val="decimal"/>
      <w:lvlText w:val="%1."/>
      <w:lvlJc w:val="left"/>
      <w:pPr>
        <w:ind w:left="560" w:hanging="280"/>
      </w:pPr>
    </w:lvl>
    <w:lvl w:ilvl="1" w:tplc="3F7CE538">
      <w:numFmt w:val="decimal"/>
      <w:lvlText w:val=""/>
      <w:lvlJc w:val="left"/>
    </w:lvl>
    <w:lvl w:ilvl="2" w:tplc="52A61C46">
      <w:numFmt w:val="decimal"/>
      <w:lvlText w:val=""/>
      <w:lvlJc w:val="left"/>
    </w:lvl>
    <w:lvl w:ilvl="3" w:tplc="0AF6F56C">
      <w:numFmt w:val="decimal"/>
      <w:lvlText w:val=""/>
      <w:lvlJc w:val="left"/>
    </w:lvl>
    <w:lvl w:ilvl="4" w:tplc="D8BAF0C6">
      <w:numFmt w:val="decimal"/>
      <w:lvlText w:val=""/>
      <w:lvlJc w:val="left"/>
    </w:lvl>
    <w:lvl w:ilvl="5" w:tplc="70C6F07A">
      <w:numFmt w:val="decimal"/>
      <w:lvlText w:val=""/>
      <w:lvlJc w:val="left"/>
    </w:lvl>
    <w:lvl w:ilvl="6" w:tplc="3BD4AD32">
      <w:numFmt w:val="decimal"/>
      <w:lvlText w:val=""/>
      <w:lvlJc w:val="left"/>
    </w:lvl>
    <w:lvl w:ilvl="7" w:tplc="EA684A4C">
      <w:numFmt w:val="decimal"/>
      <w:lvlText w:val=""/>
      <w:lvlJc w:val="left"/>
    </w:lvl>
    <w:lvl w:ilvl="8" w:tplc="AB7E9B96">
      <w:numFmt w:val="decimal"/>
      <w:lvlText w:val=""/>
      <w:lvlJc w:val="left"/>
    </w:lvl>
  </w:abstractNum>
  <w:abstractNum w:abstractNumId="1" w15:restartNumberingAfterBreak="0">
    <w:nsid w:val="4C510B07"/>
    <w:multiLevelType w:val="hybridMultilevel"/>
    <w:tmpl w:val="CED0B98E"/>
    <w:lvl w:ilvl="0" w:tplc="241455F2">
      <w:start w:val="1"/>
      <w:numFmt w:val="bullet"/>
      <w:lvlText w:val="●"/>
      <w:lvlJc w:val="left"/>
      <w:pPr>
        <w:ind w:left="720" w:hanging="360"/>
      </w:pPr>
    </w:lvl>
    <w:lvl w:ilvl="1" w:tplc="768A2CF6">
      <w:start w:val="1"/>
      <w:numFmt w:val="bullet"/>
      <w:lvlText w:val="○"/>
      <w:lvlJc w:val="left"/>
      <w:pPr>
        <w:ind w:left="1440" w:hanging="360"/>
      </w:pPr>
    </w:lvl>
    <w:lvl w:ilvl="2" w:tplc="2E9220DA">
      <w:start w:val="1"/>
      <w:numFmt w:val="bullet"/>
      <w:lvlText w:val="■"/>
      <w:lvlJc w:val="left"/>
      <w:pPr>
        <w:ind w:left="2160" w:hanging="360"/>
      </w:pPr>
    </w:lvl>
    <w:lvl w:ilvl="3" w:tplc="8E2233CC">
      <w:start w:val="1"/>
      <w:numFmt w:val="bullet"/>
      <w:lvlText w:val="●"/>
      <w:lvlJc w:val="left"/>
      <w:pPr>
        <w:ind w:left="2880" w:hanging="360"/>
      </w:pPr>
    </w:lvl>
    <w:lvl w:ilvl="4" w:tplc="6D54C3BC">
      <w:start w:val="1"/>
      <w:numFmt w:val="bullet"/>
      <w:lvlText w:val="○"/>
      <w:lvlJc w:val="left"/>
      <w:pPr>
        <w:ind w:left="3600" w:hanging="360"/>
      </w:pPr>
    </w:lvl>
    <w:lvl w:ilvl="5" w:tplc="7F1A9CD8">
      <w:start w:val="1"/>
      <w:numFmt w:val="bullet"/>
      <w:lvlText w:val="■"/>
      <w:lvlJc w:val="left"/>
      <w:pPr>
        <w:ind w:left="4320" w:hanging="360"/>
      </w:pPr>
    </w:lvl>
    <w:lvl w:ilvl="6" w:tplc="90128A08">
      <w:start w:val="1"/>
      <w:numFmt w:val="bullet"/>
      <w:lvlText w:val="●"/>
      <w:lvlJc w:val="left"/>
      <w:pPr>
        <w:ind w:left="5040" w:hanging="360"/>
      </w:pPr>
    </w:lvl>
    <w:lvl w:ilvl="7" w:tplc="BF103A30">
      <w:start w:val="1"/>
      <w:numFmt w:val="bullet"/>
      <w:lvlText w:val="●"/>
      <w:lvlJc w:val="left"/>
      <w:pPr>
        <w:ind w:left="5760" w:hanging="360"/>
      </w:pPr>
    </w:lvl>
    <w:lvl w:ilvl="8" w:tplc="94342F5C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637720CA"/>
    <w:multiLevelType w:val="hybridMultilevel"/>
    <w:tmpl w:val="557C0104"/>
    <w:lvl w:ilvl="0" w:tplc="588C4694">
      <w:start w:val="1"/>
      <w:numFmt w:val="bullet"/>
      <w:lvlText w:val="–"/>
      <w:lvlJc w:val="left"/>
      <w:pPr>
        <w:ind w:left="880" w:hanging="280"/>
      </w:pPr>
    </w:lvl>
    <w:lvl w:ilvl="1" w:tplc="0ACA2762">
      <w:numFmt w:val="decimal"/>
      <w:lvlText w:val=""/>
      <w:lvlJc w:val="left"/>
    </w:lvl>
    <w:lvl w:ilvl="2" w:tplc="48622788">
      <w:numFmt w:val="decimal"/>
      <w:lvlText w:val=""/>
      <w:lvlJc w:val="left"/>
    </w:lvl>
    <w:lvl w:ilvl="3" w:tplc="131C86A2">
      <w:numFmt w:val="decimal"/>
      <w:lvlText w:val=""/>
      <w:lvlJc w:val="left"/>
    </w:lvl>
    <w:lvl w:ilvl="4" w:tplc="61849E68">
      <w:numFmt w:val="decimal"/>
      <w:lvlText w:val=""/>
      <w:lvlJc w:val="left"/>
    </w:lvl>
    <w:lvl w:ilvl="5" w:tplc="68A62CEA">
      <w:numFmt w:val="decimal"/>
      <w:lvlText w:val=""/>
      <w:lvlJc w:val="left"/>
    </w:lvl>
    <w:lvl w:ilvl="6" w:tplc="85D022B2">
      <w:numFmt w:val="decimal"/>
      <w:lvlText w:val=""/>
      <w:lvlJc w:val="left"/>
    </w:lvl>
    <w:lvl w:ilvl="7" w:tplc="668C673E">
      <w:numFmt w:val="decimal"/>
      <w:lvlText w:val=""/>
      <w:lvlJc w:val="left"/>
    </w:lvl>
    <w:lvl w:ilvl="8" w:tplc="2B9667EC">
      <w:numFmt w:val="decimal"/>
      <w:lvlText w:val=""/>
      <w:lvlJc w:val="left"/>
    </w:lvl>
  </w:abstractNum>
  <w:abstractNum w:abstractNumId="3" w15:restartNumberingAfterBreak="0">
    <w:nsid w:val="7D6569AD"/>
    <w:multiLevelType w:val="hybridMultilevel"/>
    <w:tmpl w:val="9B22E75E"/>
    <w:lvl w:ilvl="0" w:tplc="B9C2C368">
      <w:start w:val="1"/>
      <w:numFmt w:val="bullet"/>
      <w:lvlText w:val="•"/>
      <w:lvlJc w:val="left"/>
      <w:pPr>
        <w:ind w:left="560" w:hanging="280"/>
      </w:pPr>
    </w:lvl>
    <w:lvl w:ilvl="1" w:tplc="05E22D4A">
      <w:numFmt w:val="decimal"/>
      <w:lvlText w:val=""/>
      <w:lvlJc w:val="left"/>
    </w:lvl>
    <w:lvl w:ilvl="2" w:tplc="BD448908">
      <w:numFmt w:val="decimal"/>
      <w:lvlText w:val=""/>
      <w:lvlJc w:val="left"/>
    </w:lvl>
    <w:lvl w:ilvl="3" w:tplc="98384B98">
      <w:numFmt w:val="decimal"/>
      <w:lvlText w:val=""/>
      <w:lvlJc w:val="left"/>
    </w:lvl>
    <w:lvl w:ilvl="4" w:tplc="746A7394">
      <w:numFmt w:val="decimal"/>
      <w:lvlText w:val=""/>
      <w:lvlJc w:val="left"/>
    </w:lvl>
    <w:lvl w:ilvl="5" w:tplc="893686BE">
      <w:numFmt w:val="decimal"/>
      <w:lvlText w:val=""/>
      <w:lvlJc w:val="left"/>
    </w:lvl>
    <w:lvl w:ilvl="6" w:tplc="B4128822">
      <w:numFmt w:val="decimal"/>
      <w:lvlText w:val=""/>
      <w:lvlJc w:val="left"/>
    </w:lvl>
    <w:lvl w:ilvl="7" w:tplc="EA0C80F4">
      <w:numFmt w:val="decimal"/>
      <w:lvlText w:val=""/>
      <w:lvlJc w:val="left"/>
    </w:lvl>
    <w:lvl w:ilvl="8" w:tplc="9A4CF506">
      <w:numFmt w:val="decimal"/>
      <w:lvlText w:val=""/>
      <w:lvlJc w:val="left"/>
    </w:lvl>
  </w:abstractNum>
  <w:num w:numId="1" w16cid:durableId="1247299883">
    <w:abstractNumId w:val="1"/>
    <w:lvlOverride w:ilvl="0">
      <w:startOverride w:val="1"/>
    </w:lvlOverride>
  </w:num>
  <w:num w:numId="2" w16cid:durableId="1574121289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09E"/>
    <w:rsid w:val="000105DE"/>
    <w:rsid w:val="003A442A"/>
    <w:rsid w:val="006277F9"/>
    <w:rsid w:val="0087043F"/>
    <w:rsid w:val="00BB0CFE"/>
    <w:rsid w:val="00BD68BB"/>
    <w:rsid w:val="00BF1A20"/>
    <w:rsid w:val="00CB34BC"/>
    <w:rsid w:val="00E5309E"/>
    <w:rsid w:val="00F7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12B9B"/>
  <w15:docId w15:val="{40B36C38-B890-45E7-8E66-3EBFF72C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Segoe UI" w:hAnsi="Segoe UI" w:cs="Segoe UI"/>
        <w:color w:val="2828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400" w:after="120"/>
      <w:outlineLvl w:val="0"/>
    </w:pPr>
    <w:rPr>
      <w:b/>
      <w:bCs/>
      <w:sz w:val="40"/>
      <w:szCs w:val="40"/>
    </w:rPr>
  </w:style>
  <w:style w:type="paragraph" w:styleId="Heading2">
    <w:name w:val="heading 2"/>
    <w:uiPriority w:val="9"/>
    <w:unhideWhenUsed/>
    <w:qFormat/>
    <w:pPr>
      <w:spacing w:before="320" w:after="100"/>
      <w:outlineLvl w:val="1"/>
    </w:pPr>
    <w:rPr>
      <w:b/>
      <w:bCs/>
      <w:sz w:val="30"/>
      <w:szCs w:val="30"/>
    </w:rPr>
  </w:style>
  <w:style w:type="paragraph" w:styleId="Heading3">
    <w:name w:val="heading 3"/>
    <w:uiPriority w:val="9"/>
    <w:unhideWhenUsed/>
    <w:qFormat/>
    <w:pPr>
      <w:spacing w:before="220" w:after="80"/>
      <w:outlineLvl w:val="2"/>
    </w:pPr>
    <w:rPr>
      <w:b/>
      <w:bCs/>
      <w:color w:val="6E3CBE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D68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68BB"/>
  </w:style>
  <w:style w:type="paragraph" w:styleId="Footer">
    <w:name w:val="footer"/>
    <w:basedOn w:val="Normal"/>
    <w:link w:val="FooterChar"/>
    <w:uiPriority w:val="99"/>
    <w:unhideWhenUsed/>
    <w:rsid w:val="00BD68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6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6F795-DD21-4497-85F9-5ABA86438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3096</Words>
  <Characters>17413</Characters>
  <Application>Microsoft Office Word</Application>
  <DocSecurity>0</DocSecurity>
  <Lines>832</Lines>
  <Paragraphs>608</Paragraphs>
  <ScaleCrop>false</ScaleCrop>
  <Company/>
  <LinksUpToDate>false</LinksUpToDate>
  <CharactersWithSpaces>20072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Cody M</cp:lastModifiedBy>
  <cp:revision>4</cp:revision>
  <dcterms:created xsi:type="dcterms:W3CDTF">2026-04-08T22:39:00Z</dcterms:created>
  <dcterms:modified xsi:type="dcterms:W3CDTF">2026-04-14T19:43:00Z</dcterms:modified>
</cp:coreProperties>
</file>